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Georgia" w:hAnsi="Georgia"/>
          <w:sz w:val="22"/>
        </w:rPr>
        <w:id w:val="-2122294012"/>
        <w:docPartObj>
          <w:docPartGallery w:val="Cover Pages"/>
          <w:docPartUnique/>
        </w:docPartObj>
      </w:sdtPr>
      <w:sdtEndPr/>
      <w:sdtContent>
        <w:p w14:paraId="0002098E" w14:textId="23628893" w:rsidR="00C22775" w:rsidRPr="00C22775" w:rsidRDefault="00D50DF4" w:rsidP="00273C33">
          <w:pPr>
            <w:pStyle w:val="ReportTitle"/>
            <w:spacing w:line="288" w:lineRule="auto"/>
            <w:jc w:val="center"/>
            <w:rPr>
              <w:rFonts w:ascii="Georgia" w:hAnsi="Georgia"/>
              <w:b/>
              <w:color w:val="FF0000"/>
              <w:sz w:val="22"/>
            </w:rPr>
          </w:pPr>
          <w:r>
            <w:rPr>
              <w:rFonts w:ascii="Georgia" w:hAnsi="Georgia"/>
              <w:noProof/>
              <w:color w:val="44546A" w:themeColor="text2"/>
              <w:sz w:val="52"/>
            </w:rPr>
            <mc:AlternateContent>
              <mc:Choice Requires="wps">
                <w:drawing>
                  <wp:anchor distT="0" distB="0" distL="114300" distR="114300" simplePos="0" relativeHeight="251667456" behindDoc="0" locked="0" layoutInCell="1" allowOverlap="1" wp14:anchorId="45ABE591" wp14:editId="25F2E81B">
                    <wp:simplePos x="0" y="0"/>
                    <wp:positionH relativeFrom="page">
                      <wp:posOffset>7951</wp:posOffset>
                    </wp:positionH>
                    <wp:positionV relativeFrom="page">
                      <wp:posOffset>-4280</wp:posOffset>
                    </wp:positionV>
                    <wp:extent cx="540000" cy="5286375"/>
                    <wp:effectExtent l="0" t="0" r="0" b="9525"/>
                    <wp:wrapNone/>
                    <wp:docPr id="3" name="Rectangle 3"/>
                    <wp:cNvGraphicFramePr/>
                    <a:graphic xmlns:a="http://schemas.openxmlformats.org/drawingml/2006/main">
                      <a:graphicData uri="http://schemas.microsoft.com/office/word/2010/wordprocessingShape">
                        <wps:wsp>
                          <wps:cNvSpPr/>
                          <wps:spPr>
                            <a:xfrm>
                              <a:off x="0" y="0"/>
                              <a:ext cx="540000" cy="5286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A846" id="Rectangle 3" o:spid="_x0000_s1026" style="position:absolute;margin-left:.65pt;margin-top:-.35pt;width:42.5pt;height:416.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w6jgIAAIQFAAAOAAAAZHJzL2Uyb0RvYy54bWysVFFPGzEMfp+0/xDlfVxbWmAVV1SBmCYh&#10;QMDEc8glvUhJnCVpr92vn5Ncr8DQHqbdQy6O7c/xF9vnF1ujyUb4oMDWdHw0okRYDo2yq5r+eLr+&#10;ckZJiMw2TIMVNd2JQC8Wnz+dd24uJtCCboQnCGLDvHM1bWN086oKvBWGhSNwwqJSgjcsouhXVeNZ&#10;h+hGV5PR6KTqwDfOAxch4OlVUdJFxpdS8HgnZRCR6Jri3WJefV5f0lotztl85ZlrFe+vwf7hFoYp&#10;i0EHqCsWGVl79QeUUdxDABmPOJgKpFRc5Bwwm/HoXTaPLXMi54LkBDfQFP4fLL/d3HuimpoeU2KZ&#10;wSd6QNKYXWlBjhM9nQtztHp0976XAm5TrlvpTfpjFmSbKd0NlIptJBwPZ9MRfpRwVM0mZyfHp7ME&#10;Wh28nQ/xmwBD0qamHqNnJtnmJsRiujdJwQJo1VwrrbOQykRcak82DB84bic9+BsrbZOtheRVANNJ&#10;lRIrqeRd3GmR7LR9EBIZwctP8kVyLR6CMM6FjeOialkjSuxZzrPADx450QyYkCXGH7B7gLcJ7LEL&#10;TG+fXEUu5cF59LeLFefBI0cGGwdnoyz4jwA0ZtVHLvZ7kgo1iaUXaHZYLx5KIwXHrxU+2w0L8Z55&#10;7Bx8apwG8Q4XqaGrKfQ7Slrwvz46T/ZY0KilpMNOrGn4uWZeUKK/Wyz1r+PpNLVuFqaz0wkK/rXm&#10;5bXGrs0lYC2Mce44nrfJPur9Vnowzzg0likqqpjlGLumPPq9cBnLhMCxw8Vymc2wXR2LN/bR8QSe&#10;WE1l+bR9Zt71tRux6m9h37Vs/q6Ei23ytLBcR5Aq1/eB155vbPVcOP1YSrPktZytDsNz8RsAAP//&#10;AwBQSwMEFAAGAAgAAAAhAHogX+XdAAAABgEAAA8AAABkcnMvZG93bnJldi54bWxMjkFLw0AQhe+C&#10;/2EZwVu7aQs1TbMpIngQEbEtYm+b7JiNzc6G7LaJ/nqnJz0NH+/x5ss3o2vFGfvQeFIwmyYgkCpv&#10;GqoV7HePkxREiJqMbj2hgm8MsCmur3KdGT/QG563sRY8QiHTCmyMXSZlqCw6Haa+Q+Ls0/dOR8a+&#10;lqbXA4+7Vs6TZCmdbog/WN3hg8XquD05Bf7rZ7V/Hl6O5c6uqvfDvP54eh2Uur0Z79cgIo7xrwwX&#10;fVaHgp1KfyITRMu84KKCyR0ITtMlY8l3MUtBFrn8r1/8AgAA//8DAFBLAQItABQABgAIAAAAIQC2&#10;gziS/gAAAOEBAAATAAAAAAAAAAAAAAAAAAAAAABbQ29udGVudF9UeXBlc10ueG1sUEsBAi0AFAAG&#10;AAgAAAAhADj9If/WAAAAlAEAAAsAAAAAAAAAAAAAAAAALwEAAF9yZWxzLy5yZWxzUEsBAi0AFAAG&#10;AAgAAAAhAG4g/DqOAgAAhAUAAA4AAAAAAAAAAAAAAAAALgIAAGRycy9lMm9Eb2MueG1sUEsBAi0A&#10;FAAGAAgAAAAhAHogX+XdAAAABgEAAA8AAAAAAAAAAAAAAAAA6AQAAGRycy9kb3ducmV2LnhtbFBL&#10;BQYAAAAABAAEAPMAAADyBQAAAAA=&#10;" fillcolor="#44546a [3215]" stroked="f" strokeweight="1pt">
                    <w10:wrap anchorx="page" anchory="page"/>
                  </v:rect>
                </w:pict>
              </mc:Fallback>
            </mc:AlternateContent>
          </w:r>
        </w:p>
        <w:p w14:paraId="68335A42" w14:textId="5630A624" w:rsidR="00D50DF4" w:rsidRDefault="00D50DF4" w:rsidP="008810B8">
          <w:pPr>
            <w:pStyle w:val="NoSpacing"/>
            <w:rPr>
              <w:rFonts w:ascii="Georgia" w:eastAsiaTheme="minorHAnsi" w:hAnsi="Georgia"/>
            </w:rPr>
          </w:pPr>
        </w:p>
        <w:sdt>
          <w:sdtPr>
            <w:rPr>
              <w:rFonts w:ascii="Georgia" w:eastAsiaTheme="minorHAnsi" w:hAnsi="Georgia"/>
            </w:rPr>
            <w:id w:val="71555597"/>
            <w:docPartObj>
              <w:docPartGallery w:val="Cover Pages"/>
              <w:docPartUnique/>
            </w:docPartObj>
          </w:sdtPr>
          <w:sdtEndPr/>
          <w:sdtContent>
            <w:p w14:paraId="3763436B" w14:textId="6BBB5B4E" w:rsidR="007A43AF" w:rsidRDefault="00EF0337" w:rsidP="008810B8">
              <w:pPr>
                <w:pStyle w:val="NoSpacing"/>
                <w:rPr>
                  <w:rFonts w:ascii="Arial" w:hAnsi="Arial"/>
                  <w:b/>
                  <w:sz w:val="40"/>
                </w:rPr>
              </w:pPr>
              <w:r>
                <w:rPr>
                  <w:rFonts w:ascii="Arial" w:hAnsi="Arial"/>
                  <w:b/>
                  <w:sz w:val="40"/>
                </w:rPr>
                <w:t xml:space="preserve">L’initiative </w:t>
              </w:r>
              <w:r w:rsidRPr="00167641">
                <w:rPr>
                  <w:rFonts w:ascii="Arial" w:hAnsi="Arial"/>
                  <w:b/>
                  <w:iCs/>
                  <w:sz w:val="40"/>
                </w:rPr>
                <w:t>«</w:t>
              </w:r>
              <w:r w:rsidR="00730362">
                <w:rPr>
                  <w:rFonts w:ascii="Arial" w:hAnsi="Arial"/>
                  <w:b/>
                  <w:iCs/>
                  <w:sz w:val="40"/>
                </w:rPr>
                <w:t> </w:t>
              </w:r>
              <w:r w:rsidRPr="00167641">
                <w:rPr>
                  <w:rFonts w:ascii="Arial" w:hAnsi="Arial"/>
                  <w:b/>
                  <w:iCs/>
                  <w:sz w:val="40"/>
                </w:rPr>
                <w:t>Lever les obstacles</w:t>
              </w:r>
              <w:r w:rsidR="00730362">
                <w:rPr>
                  <w:rFonts w:ascii="Arial" w:hAnsi="Arial"/>
                  <w:b/>
                  <w:iCs/>
                  <w:sz w:val="40"/>
                </w:rPr>
                <w:t> </w:t>
              </w:r>
              <w:r w:rsidRPr="00167641">
                <w:rPr>
                  <w:rFonts w:ascii="Arial" w:hAnsi="Arial"/>
                  <w:b/>
                  <w:iCs/>
                  <w:sz w:val="40"/>
                </w:rPr>
                <w:t>»</w:t>
              </w:r>
            </w:p>
            <w:p w14:paraId="693549CD" w14:textId="4AF1C018" w:rsidR="00EF0337" w:rsidRPr="008810B8" w:rsidRDefault="00EF0337" w:rsidP="0021716D">
              <w:pPr>
                <w:pStyle w:val="NoSpacing"/>
                <w:spacing w:before="120"/>
                <w:rPr>
                  <w:rFonts w:ascii="Arial" w:hAnsi="Arial" w:cs="Arial"/>
                  <w:b/>
                  <w:bCs/>
                  <w:sz w:val="40"/>
                  <w:szCs w:val="56"/>
                </w:rPr>
              </w:pPr>
              <w:r>
                <w:rPr>
                  <w:rFonts w:ascii="Arial" w:hAnsi="Arial"/>
                  <w:b/>
                  <w:sz w:val="40"/>
                </w:rPr>
                <w:t xml:space="preserve">du Fonds mondial </w:t>
              </w:r>
            </w:p>
            <w:p w14:paraId="3C5D26AD" w14:textId="77777777" w:rsidR="00EF0337" w:rsidRPr="008810B8" w:rsidRDefault="00EF0337" w:rsidP="00EF0337">
              <w:pPr>
                <w:pStyle w:val="NoSpacing"/>
                <w:rPr>
                  <w:rFonts w:ascii="Arial" w:hAnsi="Arial" w:cs="Arial"/>
                  <w:b/>
                  <w:bCs/>
                  <w:sz w:val="40"/>
                  <w:szCs w:val="56"/>
                </w:rPr>
              </w:pPr>
            </w:p>
            <w:p w14:paraId="55D2133B" w14:textId="77777777" w:rsidR="000E71C5" w:rsidRDefault="00EF0337" w:rsidP="000E71C5">
              <w:pPr>
                <w:pStyle w:val="NoSpacing"/>
                <w:spacing w:before="120"/>
                <w:rPr>
                  <w:rFonts w:ascii="Arial" w:hAnsi="Arial"/>
                  <w:b/>
                  <w:color w:val="44546A" w:themeColor="text2"/>
                  <w:sz w:val="40"/>
                </w:rPr>
              </w:pPr>
              <w:r>
                <w:rPr>
                  <w:rFonts w:ascii="Arial" w:hAnsi="Arial"/>
                  <w:b/>
                  <w:color w:val="44546A" w:themeColor="text2"/>
                  <w:sz w:val="40"/>
                </w:rPr>
                <w:t xml:space="preserve">Sommaire des évaluations de référence </w:t>
              </w:r>
            </w:p>
            <w:p w14:paraId="3A487E59" w14:textId="0113207D" w:rsidR="00EF0337" w:rsidRPr="008810B8" w:rsidRDefault="00EF0337" w:rsidP="000E71C5">
              <w:pPr>
                <w:pStyle w:val="NoSpacing"/>
                <w:spacing w:before="120"/>
                <w:rPr>
                  <w:rFonts w:ascii="Arial" w:hAnsi="Arial" w:cs="Arial"/>
                  <w:b/>
                  <w:bCs/>
                  <w:color w:val="44546A" w:themeColor="text2"/>
                  <w:sz w:val="40"/>
                  <w:szCs w:val="56"/>
                </w:rPr>
              </w:pPr>
              <w:r>
                <w:rPr>
                  <w:rFonts w:ascii="Arial" w:hAnsi="Arial"/>
                  <w:b/>
                  <w:color w:val="44546A" w:themeColor="text2"/>
                  <w:sz w:val="40"/>
                </w:rPr>
                <w:t>dans 20 pays</w:t>
              </w:r>
            </w:p>
            <w:p w14:paraId="0A23EF82" w14:textId="77777777" w:rsidR="00EF0337" w:rsidRPr="00EF0337" w:rsidRDefault="00EF0337" w:rsidP="00EF0337">
              <w:pPr>
                <w:rPr>
                  <w:sz w:val="56"/>
                  <w:szCs w:val="56"/>
                </w:rPr>
              </w:pPr>
            </w:p>
            <w:p w14:paraId="1FA7F32B" w14:textId="77777777" w:rsidR="00273C33" w:rsidRDefault="00273C33" w:rsidP="00273C33">
              <w:pPr>
                <w:pStyle w:val="ReportTitle"/>
                <w:spacing w:line="288" w:lineRule="auto"/>
                <w:jc w:val="center"/>
                <w:rPr>
                  <w:rFonts w:ascii="Georgia" w:hAnsi="Georgia"/>
                  <w:sz w:val="56"/>
                  <w:szCs w:val="56"/>
                </w:rPr>
              </w:pPr>
            </w:p>
            <w:p w14:paraId="09288128" w14:textId="77777777" w:rsidR="008810B8" w:rsidRDefault="008810B8" w:rsidP="00273C33">
              <w:pPr>
                <w:pStyle w:val="ReportTitle"/>
                <w:spacing w:line="288" w:lineRule="auto"/>
                <w:jc w:val="center"/>
                <w:rPr>
                  <w:rFonts w:ascii="Georgia" w:hAnsi="Georgia"/>
                  <w:sz w:val="56"/>
                  <w:szCs w:val="56"/>
                </w:rPr>
              </w:pPr>
            </w:p>
            <w:p w14:paraId="71EF8869" w14:textId="77777777" w:rsidR="008810B8" w:rsidRDefault="008810B8" w:rsidP="00273C33">
              <w:pPr>
                <w:pStyle w:val="ReportTitle"/>
                <w:spacing w:line="288" w:lineRule="auto"/>
                <w:jc w:val="center"/>
                <w:rPr>
                  <w:rFonts w:ascii="Georgia" w:hAnsi="Georgia"/>
                  <w:sz w:val="56"/>
                  <w:szCs w:val="56"/>
                </w:rPr>
              </w:pPr>
            </w:p>
            <w:p w14:paraId="0D511CC8" w14:textId="77777777" w:rsidR="008810B8" w:rsidRDefault="008810B8" w:rsidP="00273C33">
              <w:pPr>
                <w:pStyle w:val="ReportTitle"/>
                <w:spacing w:line="288" w:lineRule="auto"/>
                <w:jc w:val="center"/>
                <w:rPr>
                  <w:rFonts w:ascii="Georgia" w:hAnsi="Georgia"/>
                  <w:sz w:val="56"/>
                  <w:szCs w:val="56"/>
                </w:rPr>
              </w:pPr>
            </w:p>
            <w:p w14:paraId="7BC9E936" w14:textId="77777777" w:rsidR="008810B8" w:rsidRDefault="008810B8" w:rsidP="00273C33">
              <w:pPr>
                <w:pStyle w:val="ReportTitle"/>
                <w:spacing w:line="288" w:lineRule="auto"/>
                <w:jc w:val="center"/>
                <w:rPr>
                  <w:rFonts w:ascii="Georgia" w:hAnsi="Georgia"/>
                  <w:sz w:val="56"/>
                  <w:szCs w:val="56"/>
                </w:rPr>
              </w:pPr>
            </w:p>
            <w:p w14:paraId="0C04C48A" w14:textId="77777777" w:rsidR="008810B8" w:rsidRDefault="008810B8" w:rsidP="00273C33">
              <w:pPr>
                <w:pStyle w:val="ReportTitle"/>
                <w:spacing w:line="288" w:lineRule="auto"/>
                <w:jc w:val="center"/>
                <w:rPr>
                  <w:rFonts w:ascii="Georgia" w:hAnsi="Georgia"/>
                  <w:sz w:val="56"/>
                  <w:szCs w:val="56"/>
                </w:rPr>
              </w:pPr>
            </w:p>
            <w:p w14:paraId="2DF4A8CB" w14:textId="77777777" w:rsidR="008810B8" w:rsidRDefault="008810B8" w:rsidP="00273C33">
              <w:pPr>
                <w:pStyle w:val="ReportTitle"/>
                <w:spacing w:line="288" w:lineRule="auto"/>
                <w:jc w:val="center"/>
                <w:rPr>
                  <w:rFonts w:ascii="Georgia" w:hAnsi="Georgia"/>
                  <w:sz w:val="56"/>
                  <w:szCs w:val="56"/>
                </w:rPr>
              </w:pPr>
            </w:p>
            <w:p w14:paraId="1DFC323D" w14:textId="77777777" w:rsidR="008810B8" w:rsidRPr="00EF0337" w:rsidRDefault="008810B8" w:rsidP="00273C33">
              <w:pPr>
                <w:pStyle w:val="ReportTitle"/>
                <w:spacing w:line="288" w:lineRule="auto"/>
                <w:jc w:val="center"/>
                <w:rPr>
                  <w:rFonts w:ascii="Georgia" w:hAnsi="Georgia"/>
                  <w:sz w:val="56"/>
                  <w:szCs w:val="56"/>
                </w:rPr>
              </w:pPr>
            </w:p>
            <w:p w14:paraId="6F20145E" w14:textId="77777777" w:rsidR="008810B8" w:rsidRDefault="008810B8" w:rsidP="00273C33">
              <w:pPr>
                <w:pStyle w:val="GraySubtitle"/>
                <w:spacing w:after="0" w:line="288" w:lineRule="auto"/>
                <w:jc w:val="center"/>
                <w:rPr>
                  <w:rFonts w:ascii="Georgia" w:hAnsi="Georgia"/>
                  <w:color w:val="44546A" w:themeColor="text2"/>
                  <w:sz w:val="52"/>
                  <w:szCs w:val="52"/>
                </w:rPr>
              </w:pPr>
            </w:p>
            <w:p w14:paraId="3CBA3B8E" w14:textId="0AAA7254" w:rsidR="008810B8" w:rsidRDefault="00EF6298" w:rsidP="00273C33">
              <w:pPr>
                <w:pStyle w:val="GraySubtitle"/>
                <w:spacing w:after="0" w:line="288" w:lineRule="auto"/>
                <w:jc w:val="center"/>
                <w:rPr>
                  <w:rFonts w:ascii="Georgia" w:hAnsi="Georgia"/>
                  <w:color w:val="44546A" w:themeColor="text2"/>
                  <w:sz w:val="52"/>
                  <w:szCs w:val="52"/>
                </w:rPr>
              </w:pPr>
              <w:r>
                <w:rPr>
                  <w:rFonts w:ascii="Georgia" w:hAnsi="Georgia"/>
                  <w:noProof/>
                  <w:sz w:val="22"/>
                </w:rPr>
                <w:drawing>
                  <wp:anchor distT="0" distB="0" distL="114300" distR="114300" simplePos="0" relativeHeight="251668480" behindDoc="0" locked="0" layoutInCell="1" allowOverlap="1" wp14:anchorId="2FE8E4CE" wp14:editId="563F5EE3">
                    <wp:simplePos x="0" y="0"/>
                    <wp:positionH relativeFrom="margin">
                      <wp:align>center</wp:align>
                    </wp:positionH>
                    <wp:positionV relativeFrom="paragraph">
                      <wp:posOffset>630251</wp:posOffset>
                    </wp:positionV>
                    <wp:extent cx="2568272" cy="295706"/>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272" cy="295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B9585" w14:textId="4F9C0123" w:rsidR="00273C33" w:rsidRPr="00273C33" w:rsidRDefault="00273C33" w:rsidP="00273C33">
              <w:pPr>
                <w:pStyle w:val="GraySubtitle"/>
                <w:spacing w:after="0" w:line="288" w:lineRule="auto"/>
                <w:jc w:val="center"/>
                <w:rPr>
                  <w:rFonts w:ascii="Georgia" w:hAnsi="Georgia"/>
                  <w:color w:val="44546A" w:themeColor="text2"/>
                  <w:sz w:val="52"/>
                  <w:szCs w:val="52"/>
                </w:rPr>
              </w:pPr>
            </w:p>
            <w:p w14:paraId="38F3EE7A" w14:textId="77777777" w:rsidR="00240B00" w:rsidRPr="00F04999" w:rsidRDefault="00240B00" w:rsidP="00354001">
              <w:pPr>
                <w:pStyle w:val="FPTextSmall"/>
                <w:spacing w:before="120" w:line="288" w:lineRule="auto"/>
                <w:rPr>
                  <w:rFonts w:ascii="Georgia" w:hAnsi="Georgia"/>
                  <w:sz w:val="22"/>
                </w:rPr>
              </w:pPr>
            </w:p>
            <w:p w14:paraId="01108C06" w14:textId="77777777" w:rsidR="00EF0337" w:rsidRPr="00EF0337" w:rsidRDefault="00EF0337" w:rsidP="00EF0337">
              <w:pPr>
                <w:rPr>
                  <w:rFonts w:eastAsiaTheme="majorEastAsia" w:cs="Arial"/>
                  <w:b/>
                  <w:sz w:val="24"/>
                  <w:szCs w:val="24"/>
                </w:rPr>
              </w:pPr>
              <w:r>
                <w:rPr>
                  <w:b/>
                  <w:sz w:val="24"/>
                </w:rPr>
                <w:t xml:space="preserve">Avertissement </w:t>
              </w:r>
            </w:p>
            <w:p w14:paraId="72D88384" w14:textId="087BE4BE" w:rsidR="00EF0337" w:rsidRPr="00EF0337" w:rsidRDefault="00EF0337" w:rsidP="00EF0337">
              <w:pPr>
                <w:jc w:val="both"/>
                <w:rPr>
                  <w:rFonts w:asciiTheme="minorHAnsi" w:eastAsia="Times New Roman" w:hAnsiTheme="minorHAnsi"/>
                  <w:sz w:val="24"/>
                </w:rPr>
              </w:pPr>
              <w:r>
                <w:rPr>
                  <w:rFonts w:asciiTheme="minorHAnsi" w:hAnsiTheme="minorHAnsi"/>
                  <w:color w:val="000000"/>
                  <w:sz w:val="24"/>
                </w:rPr>
                <w:t>Désireux d’atteindre l’objectif stratégique</w:t>
              </w:r>
              <w:r w:rsidR="00730362">
                <w:rPr>
                  <w:rFonts w:asciiTheme="minorHAnsi" w:hAnsiTheme="minorHAnsi"/>
                  <w:color w:val="000000"/>
                  <w:sz w:val="24"/>
                </w:rPr>
                <w:t> </w:t>
              </w:r>
              <w:r>
                <w:rPr>
                  <w:rFonts w:asciiTheme="minorHAnsi" w:hAnsiTheme="minorHAnsi"/>
                  <w:color w:val="000000"/>
                  <w:sz w:val="24"/>
                </w:rPr>
                <w:t xml:space="preserve">3(a) de sa stratégie pour la période </w:t>
              </w:r>
              <w:r>
                <w:rPr>
                  <w:rFonts w:asciiTheme="minorHAnsi" w:hAnsiTheme="minorHAnsi"/>
                  <w:i/>
                  <w:color w:val="000000"/>
                  <w:sz w:val="24"/>
                </w:rPr>
                <w:t>2017−2022</w:t>
              </w:r>
              <w:r>
                <w:rPr>
                  <w:rFonts w:asciiTheme="minorHAnsi" w:hAnsiTheme="minorHAnsi"/>
                  <w:color w:val="000000"/>
                  <w:sz w:val="24"/>
                </w:rPr>
                <w:t xml:space="preserve">, </w:t>
              </w:r>
              <w:r>
                <w:rPr>
                  <w:rFonts w:asciiTheme="minorHAnsi" w:hAnsiTheme="minorHAnsi"/>
                  <w:i/>
                  <w:color w:val="000000"/>
                  <w:sz w:val="24"/>
                </w:rPr>
                <w:t>Investir pour mettre fin aux épidémies</w:t>
              </w:r>
              <w:r>
                <w:rPr>
                  <w:rFonts w:asciiTheme="minorHAnsi" w:hAnsiTheme="minorHAnsi"/>
                  <w:color w:val="000000"/>
                  <w:sz w:val="24"/>
                </w:rPr>
                <w:t>, le Fonds mondial de lutte contre le sida, la tuberculose et le paludisme (le Fonds mondial) a commandé cette évaluation de référence. Ce document de travail, qui servira de base aux réflexions et aux discussion</w:t>
              </w:r>
              <w:r w:rsidR="00926F90">
                <w:rPr>
                  <w:rFonts w:asciiTheme="minorHAnsi" w:hAnsiTheme="minorHAnsi"/>
                  <w:color w:val="000000"/>
                  <w:sz w:val="24"/>
                </w:rPr>
                <w:t>s</w:t>
              </w:r>
              <w:r>
                <w:rPr>
                  <w:rFonts w:asciiTheme="minorHAnsi" w:hAnsiTheme="minorHAnsi"/>
                  <w:color w:val="000000"/>
                  <w:sz w:val="24"/>
                </w:rPr>
                <w:t xml:space="preserve"> menées avec les parties prenantes et les partenaires techniques, présente les conclusions de </w:t>
              </w:r>
              <w:proofErr w:type="gramStart"/>
              <w:r>
                <w:rPr>
                  <w:rFonts w:asciiTheme="minorHAnsi" w:hAnsiTheme="minorHAnsi"/>
                  <w:color w:val="000000"/>
                  <w:sz w:val="24"/>
                </w:rPr>
                <w:t>recherches portant</w:t>
              </w:r>
              <w:proofErr w:type="gramEnd"/>
              <w:r>
                <w:rPr>
                  <w:rFonts w:asciiTheme="minorHAnsi" w:hAnsiTheme="minorHAnsi"/>
                  <w:color w:val="000000"/>
                  <w:sz w:val="24"/>
                </w:rPr>
                <w:t xml:space="preserve">, d’une part, sur l’élimination des obstacles liés aux droits </w:t>
              </w:r>
              <w:r w:rsidR="000F6DE7">
                <w:rPr>
                  <w:rFonts w:asciiTheme="minorHAnsi" w:hAnsiTheme="minorHAnsi"/>
                  <w:color w:val="000000"/>
                  <w:sz w:val="24"/>
                </w:rPr>
                <w:t>humains</w:t>
              </w:r>
              <w:r>
                <w:rPr>
                  <w:rFonts w:asciiTheme="minorHAnsi" w:hAnsiTheme="minorHAnsi"/>
                  <w:color w:val="000000"/>
                  <w:sz w:val="24"/>
                </w:rPr>
                <w:t xml:space="preserve"> qui entravent l’accès aux services de lutte contre le VIH</w:t>
              </w:r>
              <w:r w:rsidR="00ED2CA8">
                <w:rPr>
                  <w:rFonts w:asciiTheme="minorHAnsi" w:hAnsiTheme="minorHAnsi"/>
                  <w:color w:val="000000"/>
                  <w:sz w:val="24"/>
                </w:rPr>
                <w:t xml:space="preserve">, </w:t>
              </w:r>
              <w:r>
                <w:rPr>
                  <w:rFonts w:asciiTheme="minorHAnsi" w:hAnsiTheme="minorHAnsi"/>
                  <w:color w:val="000000"/>
                  <w:sz w:val="24"/>
                </w:rPr>
                <w:t xml:space="preserve">la tuberculose </w:t>
              </w:r>
              <w:r w:rsidR="00ED2CA8">
                <w:rPr>
                  <w:rFonts w:asciiTheme="minorHAnsi" w:hAnsiTheme="minorHAnsi"/>
                  <w:color w:val="000000"/>
                  <w:sz w:val="24"/>
                </w:rPr>
                <w:t xml:space="preserve">et le paludisme </w:t>
              </w:r>
              <w:r>
                <w:rPr>
                  <w:rFonts w:asciiTheme="minorHAnsi" w:hAnsiTheme="minorHAnsi"/>
                  <w:color w:val="000000"/>
                  <w:sz w:val="24"/>
                </w:rPr>
                <w:t xml:space="preserve">et, d’autre part, sur la mise en œuvre d’une réponse programmatique globale pour lever ces obstacles. </w:t>
              </w:r>
              <w:r>
                <w:rPr>
                  <w:rFonts w:asciiTheme="minorHAnsi" w:hAnsiTheme="minorHAnsi"/>
                  <w:sz w:val="24"/>
                </w:rPr>
                <w:t>Les points de vue exprimés dans le présent document ne reflètent pas nécessairement ceux du Fonds mondial.</w:t>
              </w:r>
            </w:p>
            <w:p w14:paraId="773A47C7" w14:textId="77777777" w:rsidR="00EF0337" w:rsidRDefault="00EF0337" w:rsidP="00EF0337">
              <w:pPr>
                <w:rPr>
                  <w:rFonts w:eastAsiaTheme="majorEastAsia" w:cs="Arial"/>
                  <w:color w:val="2F5496" w:themeColor="accent1" w:themeShade="BF"/>
                  <w:sz w:val="32"/>
                  <w:szCs w:val="32"/>
                </w:rPr>
              </w:pPr>
            </w:p>
            <w:p w14:paraId="11E0872B" w14:textId="77777777" w:rsidR="00EF0337" w:rsidRPr="00EF0337" w:rsidRDefault="00EF0337" w:rsidP="00EF0337">
              <w:pPr>
                <w:rPr>
                  <w:rFonts w:eastAsiaTheme="majorEastAsia" w:cs="Arial"/>
                  <w:b/>
                  <w:sz w:val="24"/>
                  <w:szCs w:val="24"/>
                </w:rPr>
              </w:pPr>
              <w:r>
                <w:rPr>
                  <w:b/>
                  <w:sz w:val="24"/>
                </w:rPr>
                <w:t xml:space="preserve">Remerciements </w:t>
              </w:r>
            </w:p>
            <w:p w14:paraId="6DAE496C" w14:textId="454B31DC" w:rsidR="00EF0337" w:rsidRPr="009D5E07" w:rsidRDefault="00EF0337" w:rsidP="00EF0337">
              <w:pPr>
                <w:jc w:val="both"/>
                <w:rPr>
                  <w:rFonts w:asciiTheme="minorHAnsi" w:eastAsia="Times New Roman" w:hAnsiTheme="minorHAnsi"/>
                  <w:color w:val="000000"/>
                  <w:sz w:val="24"/>
                </w:rPr>
              </w:pPr>
              <w:r>
                <w:rPr>
                  <w:rFonts w:asciiTheme="minorHAnsi" w:hAnsiTheme="minorHAnsi"/>
                  <w:color w:val="000000"/>
                  <w:sz w:val="24"/>
                </w:rPr>
                <w:t xml:space="preserve">Le Fonds mondial remercie Joanne Csete, de la </w:t>
              </w:r>
              <w:proofErr w:type="spellStart"/>
              <w:r>
                <w:rPr>
                  <w:rFonts w:asciiTheme="minorHAnsi" w:hAnsiTheme="minorHAnsi"/>
                  <w:color w:val="000000"/>
                  <w:sz w:val="24"/>
                </w:rPr>
                <w:t>Mailman</w:t>
              </w:r>
              <w:proofErr w:type="spellEnd"/>
              <w:r>
                <w:rPr>
                  <w:rFonts w:asciiTheme="minorHAnsi" w:hAnsiTheme="minorHAnsi"/>
                  <w:color w:val="000000"/>
                  <w:sz w:val="24"/>
                </w:rPr>
                <w:t xml:space="preserve"> </w:t>
              </w:r>
              <w:proofErr w:type="spellStart"/>
              <w:r>
                <w:rPr>
                  <w:rFonts w:asciiTheme="minorHAnsi" w:hAnsiTheme="minorHAnsi"/>
                  <w:color w:val="000000"/>
                  <w:sz w:val="24"/>
                </w:rPr>
                <w:t>School</w:t>
              </w:r>
              <w:proofErr w:type="spellEnd"/>
              <w:r>
                <w:rPr>
                  <w:rFonts w:asciiTheme="minorHAnsi" w:hAnsiTheme="minorHAnsi"/>
                  <w:color w:val="000000"/>
                  <w:sz w:val="24"/>
                </w:rPr>
                <w:t xml:space="preserve"> of Public </w:t>
              </w:r>
              <w:proofErr w:type="spellStart"/>
              <w:r>
                <w:rPr>
                  <w:rFonts w:asciiTheme="minorHAnsi" w:hAnsiTheme="minorHAnsi"/>
                  <w:color w:val="000000"/>
                  <w:sz w:val="24"/>
                </w:rPr>
                <w:t>Health</w:t>
              </w:r>
              <w:proofErr w:type="spellEnd"/>
              <w:r>
                <w:rPr>
                  <w:rFonts w:asciiTheme="minorHAnsi" w:hAnsiTheme="minorHAnsi"/>
                  <w:color w:val="000000"/>
                  <w:sz w:val="24"/>
                </w:rPr>
                <w:t xml:space="preserve"> de l</w:t>
              </w:r>
              <w:r w:rsidR="00730362">
                <w:rPr>
                  <w:rFonts w:asciiTheme="minorHAnsi" w:hAnsiTheme="minorHAnsi"/>
                  <w:color w:val="000000"/>
                  <w:sz w:val="24"/>
                </w:rPr>
                <w:t>’</w:t>
              </w:r>
              <w:r>
                <w:rPr>
                  <w:rFonts w:asciiTheme="minorHAnsi" w:hAnsiTheme="minorHAnsi"/>
                  <w:color w:val="000000"/>
                  <w:sz w:val="24"/>
                </w:rPr>
                <w:t xml:space="preserve">Université de Columbia, pour son travail de recherche et la rédaction du présent document. </w:t>
              </w:r>
            </w:p>
            <w:p w14:paraId="5243950A" w14:textId="77777777" w:rsidR="00B262F8" w:rsidRPr="00F04999" w:rsidRDefault="00B262F8" w:rsidP="00354001">
              <w:pPr>
                <w:pStyle w:val="FPTextSmall"/>
                <w:spacing w:before="120" w:line="288" w:lineRule="auto"/>
                <w:rPr>
                  <w:rFonts w:ascii="Georgia" w:hAnsi="Georgia"/>
                  <w:sz w:val="22"/>
                </w:rPr>
              </w:pPr>
            </w:p>
            <w:p w14:paraId="05B9948D" w14:textId="742F2124" w:rsidR="00240B00" w:rsidRPr="00F04999" w:rsidRDefault="00240B00" w:rsidP="00354001">
              <w:pPr>
                <w:spacing w:before="120" w:after="0" w:line="288" w:lineRule="auto"/>
                <w:rPr>
                  <w:rFonts w:cs="Times New Roman"/>
                </w:rPr>
              </w:pPr>
              <w:r>
                <w:br w:type="page"/>
              </w:r>
            </w:p>
            <w:p w14:paraId="3B8498A0" w14:textId="77777777" w:rsidR="00AF673A" w:rsidRPr="00F04999" w:rsidRDefault="00BE6FA6" w:rsidP="00354001">
              <w:pPr>
                <w:spacing w:before="120" w:after="0" w:line="288" w:lineRule="auto"/>
                <w:rPr>
                  <w:rFonts w:cs="Times New Roman"/>
                </w:rPr>
              </w:pPr>
            </w:p>
          </w:sdtContent>
        </w:sdt>
      </w:sdtContent>
    </w:sdt>
    <w:bookmarkStart w:id="1" w:name="_Toc14276739" w:displacedByCustomXml="next"/>
    <w:sdt>
      <w:sdtPr>
        <w:rPr>
          <w:rFonts w:ascii="Georgia" w:eastAsiaTheme="minorHAnsi" w:hAnsi="Georgia" w:cstheme="minorBidi"/>
          <w:color w:val="auto"/>
          <w:sz w:val="22"/>
          <w:szCs w:val="22"/>
        </w:rPr>
        <w:id w:val="-824198562"/>
        <w:docPartObj>
          <w:docPartGallery w:val="Table of Contents"/>
          <w:docPartUnique/>
        </w:docPartObj>
      </w:sdtPr>
      <w:sdtEndPr>
        <w:rPr>
          <w:noProof/>
        </w:rPr>
      </w:sdtEndPr>
      <w:sdtContent>
        <w:p w14:paraId="68DFFCD4" w14:textId="77777777" w:rsidR="00EF0337" w:rsidRPr="00EF0337" w:rsidRDefault="00EF0337" w:rsidP="00EF0337">
          <w:pPr>
            <w:pStyle w:val="TOCHeading"/>
            <w:rPr>
              <w:rFonts w:ascii="Arial" w:hAnsi="Arial" w:cs="Arial"/>
              <w:color w:val="44546A" w:themeColor="text2"/>
              <w:sz w:val="28"/>
              <w:szCs w:val="28"/>
            </w:rPr>
          </w:pPr>
          <w:r>
            <w:rPr>
              <w:rFonts w:ascii="Arial" w:hAnsi="Arial"/>
              <w:color w:val="44546A" w:themeColor="text2"/>
              <w:sz w:val="28"/>
            </w:rPr>
            <w:t>Table des matières</w:t>
          </w:r>
        </w:p>
        <w:p w14:paraId="73F32E86" w14:textId="77777777" w:rsidR="00EF0337" w:rsidRDefault="00EF0337" w:rsidP="00EF0337">
          <w:pPr>
            <w:pStyle w:val="TOC1"/>
            <w:tabs>
              <w:tab w:val="right" w:leader="dot" w:pos="9628"/>
            </w:tabs>
          </w:pPr>
        </w:p>
        <w:p w14:paraId="3D0BBF8A" w14:textId="6CD35DE0" w:rsidR="00814360" w:rsidRPr="00B7756E" w:rsidRDefault="00EF0337">
          <w:pPr>
            <w:pStyle w:val="TOC1"/>
            <w:tabs>
              <w:tab w:val="right" w:leader="dot" w:pos="9350"/>
            </w:tabs>
            <w:rPr>
              <w:rFonts w:asciiTheme="minorHAnsi" w:eastAsiaTheme="minorEastAsia" w:hAnsiTheme="minorHAnsi"/>
              <w:noProof/>
              <w:lang w:eastAsia="fr-CA"/>
            </w:rPr>
          </w:pPr>
          <w:r w:rsidRPr="00B7756E">
            <w:fldChar w:fldCharType="begin"/>
          </w:r>
          <w:r w:rsidRPr="00B7756E">
            <w:instrText xml:space="preserve"> TOC \o "1-3" \h \z \u </w:instrText>
          </w:r>
          <w:r w:rsidRPr="00B7756E">
            <w:fldChar w:fldCharType="separate"/>
          </w:r>
          <w:hyperlink w:anchor="_Toc63885353" w:history="1">
            <w:r w:rsidR="00814360" w:rsidRPr="00B7756E">
              <w:rPr>
                <w:rStyle w:val="Hyperlink"/>
                <w:noProof/>
              </w:rPr>
              <w:t>Sommaire</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_Toc63885353 \h </w:instrText>
            </w:r>
            <w:r w:rsidR="00814360" w:rsidRPr="00B7756E">
              <w:rPr>
                <w:noProof/>
                <w:webHidden/>
              </w:rPr>
            </w:r>
            <w:r w:rsidR="00814360" w:rsidRPr="00B7756E">
              <w:rPr>
                <w:noProof/>
                <w:webHidden/>
              </w:rPr>
              <w:fldChar w:fldCharType="separate"/>
            </w:r>
            <w:r w:rsidR="00814360" w:rsidRPr="00B7756E">
              <w:rPr>
                <w:noProof/>
                <w:webHidden/>
              </w:rPr>
              <w:t>3</w:t>
            </w:r>
            <w:r w:rsidR="00814360" w:rsidRPr="00B7756E">
              <w:rPr>
                <w:noProof/>
                <w:webHidden/>
              </w:rPr>
              <w:fldChar w:fldCharType="end"/>
            </w:r>
          </w:hyperlink>
        </w:p>
        <w:p w14:paraId="06BFF28B" w14:textId="0CAC4163" w:rsidR="00814360" w:rsidRPr="00B7756E" w:rsidRDefault="00BE6FA6">
          <w:pPr>
            <w:pStyle w:val="TOC1"/>
            <w:tabs>
              <w:tab w:val="right" w:leader="dot" w:pos="9350"/>
            </w:tabs>
            <w:rPr>
              <w:rFonts w:asciiTheme="minorHAnsi" w:eastAsiaTheme="minorEastAsia" w:hAnsiTheme="minorHAnsi"/>
              <w:noProof/>
              <w:lang w:eastAsia="fr-CA"/>
            </w:rPr>
          </w:pPr>
          <w:hyperlink w:anchor="_Toc63885354" w:history="1">
            <w:r w:rsidR="00814360" w:rsidRPr="00B7756E">
              <w:rPr>
                <w:rStyle w:val="Hyperlink"/>
                <w:noProof/>
              </w:rPr>
              <w:t>Introduction</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_Toc63885354 \h </w:instrText>
            </w:r>
            <w:r w:rsidR="00814360" w:rsidRPr="00B7756E">
              <w:rPr>
                <w:noProof/>
                <w:webHidden/>
              </w:rPr>
            </w:r>
            <w:r w:rsidR="00814360" w:rsidRPr="00B7756E">
              <w:rPr>
                <w:noProof/>
                <w:webHidden/>
              </w:rPr>
              <w:fldChar w:fldCharType="separate"/>
            </w:r>
            <w:r w:rsidR="00814360" w:rsidRPr="00B7756E">
              <w:rPr>
                <w:noProof/>
                <w:webHidden/>
              </w:rPr>
              <w:t>3</w:t>
            </w:r>
            <w:r w:rsidR="00814360" w:rsidRPr="00B7756E">
              <w:rPr>
                <w:noProof/>
                <w:webHidden/>
              </w:rPr>
              <w:fldChar w:fldCharType="end"/>
            </w:r>
          </w:hyperlink>
        </w:p>
        <w:p w14:paraId="0CC87712" w14:textId="4C136DA5" w:rsidR="00814360" w:rsidRPr="00B7756E" w:rsidRDefault="00BE6FA6">
          <w:pPr>
            <w:pStyle w:val="TOC1"/>
            <w:tabs>
              <w:tab w:val="right" w:leader="dot" w:pos="9350"/>
            </w:tabs>
            <w:rPr>
              <w:rFonts w:asciiTheme="minorHAnsi" w:eastAsiaTheme="minorEastAsia" w:hAnsiTheme="minorHAnsi"/>
              <w:noProof/>
              <w:lang w:eastAsia="fr-CA"/>
            </w:rPr>
          </w:pPr>
          <w:hyperlink w:anchor="_Toc63885355" w:history="1">
            <w:r w:rsidR="00814360" w:rsidRPr="00B7756E">
              <w:rPr>
                <w:rStyle w:val="Hyperlink"/>
                <w:noProof/>
              </w:rPr>
              <w:t>Objectifs et méthodes des évaluations de référence</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_Toc63885355 \h </w:instrText>
            </w:r>
            <w:r w:rsidR="00814360" w:rsidRPr="00B7756E">
              <w:rPr>
                <w:noProof/>
                <w:webHidden/>
              </w:rPr>
            </w:r>
            <w:r w:rsidR="00814360" w:rsidRPr="00B7756E">
              <w:rPr>
                <w:noProof/>
                <w:webHidden/>
              </w:rPr>
              <w:fldChar w:fldCharType="separate"/>
            </w:r>
            <w:r w:rsidR="00814360" w:rsidRPr="00B7756E">
              <w:rPr>
                <w:noProof/>
                <w:webHidden/>
              </w:rPr>
              <w:t>4</w:t>
            </w:r>
            <w:r w:rsidR="00814360" w:rsidRPr="00B7756E">
              <w:rPr>
                <w:noProof/>
                <w:webHidden/>
              </w:rPr>
              <w:fldChar w:fldCharType="end"/>
            </w:r>
          </w:hyperlink>
        </w:p>
        <w:p w14:paraId="018CA657" w14:textId="4E3CF7D6" w:rsidR="00814360" w:rsidRPr="00B7756E" w:rsidRDefault="00BE6FA6">
          <w:pPr>
            <w:pStyle w:val="TOC1"/>
            <w:tabs>
              <w:tab w:val="right" w:leader="dot" w:pos="9350"/>
            </w:tabs>
            <w:rPr>
              <w:rFonts w:asciiTheme="minorHAnsi" w:eastAsiaTheme="minorEastAsia" w:hAnsiTheme="minorHAnsi"/>
              <w:noProof/>
              <w:lang w:eastAsia="fr-CA"/>
            </w:rPr>
          </w:pPr>
          <w:hyperlink w:anchor="_Toc63885356" w:history="1">
            <w:r w:rsidR="00814360" w:rsidRPr="00B7756E">
              <w:rPr>
                <w:rStyle w:val="Hyperlink"/>
                <w:noProof/>
              </w:rPr>
              <w:t>Analyse des données et préparation des rapports d’évaluation</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_Toc63885356 \h </w:instrText>
            </w:r>
            <w:r w:rsidR="00814360" w:rsidRPr="00B7756E">
              <w:rPr>
                <w:noProof/>
                <w:webHidden/>
              </w:rPr>
            </w:r>
            <w:r w:rsidR="00814360" w:rsidRPr="00B7756E">
              <w:rPr>
                <w:noProof/>
                <w:webHidden/>
              </w:rPr>
              <w:fldChar w:fldCharType="separate"/>
            </w:r>
            <w:r w:rsidR="00814360" w:rsidRPr="00B7756E">
              <w:rPr>
                <w:noProof/>
                <w:webHidden/>
              </w:rPr>
              <w:t>6</w:t>
            </w:r>
            <w:r w:rsidR="00814360" w:rsidRPr="00B7756E">
              <w:rPr>
                <w:noProof/>
                <w:webHidden/>
              </w:rPr>
              <w:fldChar w:fldCharType="end"/>
            </w:r>
          </w:hyperlink>
        </w:p>
        <w:p w14:paraId="0BD5FEF2" w14:textId="198EE4DB" w:rsidR="00814360" w:rsidRPr="00B7756E" w:rsidRDefault="00BE6FA6">
          <w:pPr>
            <w:pStyle w:val="TOC1"/>
            <w:tabs>
              <w:tab w:val="right" w:leader="dot" w:pos="9350"/>
            </w:tabs>
            <w:rPr>
              <w:rFonts w:asciiTheme="minorHAnsi" w:eastAsiaTheme="minorEastAsia" w:hAnsiTheme="minorHAnsi"/>
              <w:noProof/>
              <w:lang w:eastAsia="fr-CA"/>
            </w:rPr>
          </w:pPr>
          <w:hyperlink w:anchor="_Toc63885357" w:history="1">
            <w:r w:rsidR="00814360" w:rsidRPr="00B7756E">
              <w:rPr>
                <w:rStyle w:val="Hyperlink"/>
                <w:noProof/>
              </w:rPr>
              <w:t>Résultats des évaluations de référence</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_Toc63885357 \h </w:instrText>
            </w:r>
            <w:r w:rsidR="00814360" w:rsidRPr="00B7756E">
              <w:rPr>
                <w:noProof/>
                <w:webHidden/>
              </w:rPr>
            </w:r>
            <w:r w:rsidR="00814360" w:rsidRPr="00B7756E">
              <w:rPr>
                <w:noProof/>
                <w:webHidden/>
              </w:rPr>
              <w:fldChar w:fldCharType="separate"/>
            </w:r>
            <w:r w:rsidR="00814360" w:rsidRPr="00B7756E">
              <w:rPr>
                <w:noProof/>
                <w:webHidden/>
              </w:rPr>
              <w:t>7</w:t>
            </w:r>
            <w:r w:rsidR="00814360" w:rsidRPr="00B7756E">
              <w:rPr>
                <w:noProof/>
                <w:webHidden/>
              </w:rPr>
              <w:fldChar w:fldCharType="end"/>
            </w:r>
          </w:hyperlink>
        </w:p>
        <w:p w14:paraId="2BA24B41" w14:textId="75793954" w:rsidR="00814360" w:rsidRPr="00B7756E" w:rsidRDefault="00BE6FA6">
          <w:pPr>
            <w:pStyle w:val="TOC1"/>
            <w:tabs>
              <w:tab w:val="right" w:leader="dot" w:pos="9350"/>
            </w:tabs>
            <w:rPr>
              <w:rFonts w:asciiTheme="minorHAnsi" w:eastAsiaTheme="minorEastAsia" w:hAnsiTheme="minorHAnsi"/>
              <w:noProof/>
              <w:lang w:eastAsia="fr-CA"/>
            </w:rPr>
          </w:pPr>
          <w:hyperlink w:anchor="_Toc63885358" w:history="1">
            <w:r w:rsidR="00814360" w:rsidRPr="00B7756E">
              <w:rPr>
                <w:rStyle w:val="Hyperlink"/>
                <w:noProof/>
              </w:rPr>
              <w:t>Résultats par domaine programmatique</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_Toc63885358 \h </w:instrText>
            </w:r>
            <w:r w:rsidR="00814360" w:rsidRPr="00B7756E">
              <w:rPr>
                <w:noProof/>
                <w:webHidden/>
              </w:rPr>
            </w:r>
            <w:r w:rsidR="00814360" w:rsidRPr="00B7756E">
              <w:rPr>
                <w:noProof/>
                <w:webHidden/>
              </w:rPr>
              <w:fldChar w:fldCharType="separate"/>
            </w:r>
            <w:r w:rsidR="00814360" w:rsidRPr="00B7756E">
              <w:rPr>
                <w:noProof/>
                <w:webHidden/>
              </w:rPr>
              <w:t>11</w:t>
            </w:r>
            <w:r w:rsidR="00814360" w:rsidRPr="00B7756E">
              <w:rPr>
                <w:noProof/>
                <w:webHidden/>
              </w:rPr>
              <w:fldChar w:fldCharType="end"/>
            </w:r>
          </w:hyperlink>
        </w:p>
        <w:p w14:paraId="0C2DCA94" w14:textId="37439FC1" w:rsidR="00814360" w:rsidRPr="00B7756E" w:rsidRDefault="00BE6FA6">
          <w:pPr>
            <w:pStyle w:val="TOC1"/>
            <w:tabs>
              <w:tab w:val="right" w:leader="dot" w:pos="9350"/>
            </w:tabs>
            <w:rPr>
              <w:rFonts w:asciiTheme="minorHAnsi" w:eastAsiaTheme="minorEastAsia" w:hAnsiTheme="minorHAnsi"/>
              <w:noProof/>
              <w:lang w:eastAsia="fr-CA"/>
            </w:rPr>
          </w:pPr>
          <w:hyperlink w:anchor="_Toc63885359" w:history="1">
            <w:r w:rsidR="00814360" w:rsidRPr="00B7756E">
              <w:rPr>
                <w:rStyle w:val="Hyperlink"/>
                <w:noProof/>
              </w:rPr>
              <w:t>Limites des évaluations de référence</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_Toc63885359 \h </w:instrText>
            </w:r>
            <w:r w:rsidR="00814360" w:rsidRPr="00B7756E">
              <w:rPr>
                <w:noProof/>
                <w:webHidden/>
              </w:rPr>
            </w:r>
            <w:r w:rsidR="00814360" w:rsidRPr="00B7756E">
              <w:rPr>
                <w:noProof/>
                <w:webHidden/>
              </w:rPr>
              <w:fldChar w:fldCharType="separate"/>
            </w:r>
            <w:r w:rsidR="00814360" w:rsidRPr="00B7756E">
              <w:rPr>
                <w:noProof/>
                <w:webHidden/>
              </w:rPr>
              <w:t>13</w:t>
            </w:r>
            <w:r w:rsidR="00814360" w:rsidRPr="00B7756E">
              <w:rPr>
                <w:noProof/>
                <w:webHidden/>
              </w:rPr>
              <w:fldChar w:fldCharType="end"/>
            </w:r>
          </w:hyperlink>
        </w:p>
        <w:p w14:paraId="53C1564F" w14:textId="3E3686B9" w:rsidR="00814360" w:rsidRPr="00B7756E" w:rsidRDefault="00BE6FA6">
          <w:pPr>
            <w:pStyle w:val="TOC1"/>
            <w:tabs>
              <w:tab w:val="right" w:leader="dot" w:pos="9350"/>
            </w:tabs>
            <w:rPr>
              <w:rFonts w:asciiTheme="minorHAnsi" w:eastAsiaTheme="minorEastAsia" w:hAnsiTheme="minorHAnsi"/>
              <w:noProof/>
              <w:lang w:eastAsia="fr-CA"/>
            </w:rPr>
          </w:pPr>
          <w:hyperlink w:anchor="_Toc63885360" w:history="1">
            <w:r w:rsidR="00814360" w:rsidRPr="00B7756E">
              <w:rPr>
                <w:rStyle w:val="Hyperlink"/>
                <w:noProof/>
              </w:rPr>
              <w:t>Conclusion</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_Toc63885360 \h </w:instrText>
            </w:r>
            <w:r w:rsidR="00814360" w:rsidRPr="00B7756E">
              <w:rPr>
                <w:noProof/>
                <w:webHidden/>
              </w:rPr>
            </w:r>
            <w:r w:rsidR="00814360" w:rsidRPr="00B7756E">
              <w:rPr>
                <w:noProof/>
                <w:webHidden/>
              </w:rPr>
              <w:fldChar w:fldCharType="separate"/>
            </w:r>
            <w:r w:rsidR="00814360" w:rsidRPr="00B7756E">
              <w:rPr>
                <w:noProof/>
                <w:webHidden/>
              </w:rPr>
              <w:t>14</w:t>
            </w:r>
            <w:r w:rsidR="00814360" w:rsidRPr="00B7756E">
              <w:rPr>
                <w:noProof/>
                <w:webHidden/>
              </w:rPr>
              <w:fldChar w:fldCharType="end"/>
            </w:r>
          </w:hyperlink>
        </w:p>
        <w:p w14:paraId="3B190248" w14:textId="2EDCB847" w:rsidR="00814360" w:rsidRPr="00B7756E" w:rsidRDefault="00BE6FA6">
          <w:pPr>
            <w:pStyle w:val="TOC1"/>
            <w:tabs>
              <w:tab w:val="right" w:leader="dot" w:pos="9350"/>
            </w:tabs>
            <w:rPr>
              <w:rFonts w:asciiTheme="minorHAnsi" w:eastAsiaTheme="minorEastAsia" w:hAnsiTheme="minorHAnsi"/>
              <w:noProof/>
              <w:lang w:eastAsia="fr-CA"/>
            </w:rPr>
          </w:pPr>
          <w:hyperlink w:anchor="_Toc63885361" w:history="1">
            <w:r w:rsidR="00814360" w:rsidRPr="00B7756E">
              <w:rPr>
                <w:rStyle w:val="Hyperlink"/>
                <w:noProof/>
              </w:rPr>
              <w:t>Annexe</w:t>
            </w:r>
            <w:r w:rsidR="00814360" w:rsidRPr="00B7756E">
              <w:rPr>
                <w:noProof/>
                <w:webHidden/>
              </w:rPr>
              <w:tab/>
            </w:r>
            <w:r w:rsidR="00814360" w:rsidRPr="00B7756E">
              <w:rPr>
                <w:noProof/>
                <w:webHidden/>
              </w:rPr>
              <w:fldChar w:fldCharType="begin"/>
            </w:r>
            <w:r w:rsidR="00814360" w:rsidRPr="00B7756E">
              <w:rPr>
                <w:noProof/>
                <w:webHidden/>
              </w:rPr>
              <w:instrText xml:space="preserve"> PAGEREF _Toc63885361 \h </w:instrText>
            </w:r>
            <w:r w:rsidR="00814360" w:rsidRPr="00B7756E">
              <w:rPr>
                <w:noProof/>
                <w:webHidden/>
              </w:rPr>
            </w:r>
            <w:r w:rsidR="00814360" w:rsidRPr="00B7756E">
              <w:rPr>
                <w:noProof/>
                <w:webHidden/>
              </w:rPr>
              <w:fldChar w:fldCharType="separate"/>
            </w:r>
            <w:r w:rsidR="00814360" w:rsidRPr="00B7756E">
              <w:rPr>
                <w:noProof/>
                <w:webHidden/>
              </w:rPr>
              <w:t>15</w:t>
            </w:r>
            <w:r w:rsidR="00814360" w:rsidRPr="00B7756E">
              <w:rPr>
                <w:noProof/>
                <w:webHidden/>
              </w:rPr>
              <w:fldChar w:fldCharType="end"/>
            </w:r>
          </w:hyperlink>
        </w:p>
        <w:p w14:paraId="31D3828B" w14:textId="497963C4" w:rsidR="00EF0337" w:rsidRPr="00B7756E" w:rsidRDefault="00EF0337" w:rsidP="00EF0337">
          <w:r w:rsidRPr="00B7756E">
            <w:fldChar w:fldCharType="end"/>
          </w:r>
        </w:p>
      </w:sdtContent>
    </w:sdt>
    <w:p w14:paraId="1A43D36F" w14:textId="77777777" w:rsidR="00EF0337" w:rsidRDefault="00EF0337" w:rsidP="00115AE5">
      <w:pPr>
        <w:pStyle w:val="Heading1"/>
        <w:rPr>
          <w:rFonts w:ascii="Georgia" w:hAnsi="Georgia"/>
        </w:rPr>
      </w:pPr>
    </w:p>
    <w:p w14:paraId="371300FF" w14:textId="77777777" w:rsidR="00EF0337" w:rsidRDefault="00EF0337" w:rsidP="00115AE5">
      <w:pPr>
        <w:pStyle w:val="Heading1"/>
        <w:rPr>
          <w:rFonts w:ascii="Georgia" w:hAnsi="Georgia"/>
        </w:rPr>
      </w:pPr>
    </w:p>
    <w:p w14:paraId="6F1A0EE6" w14:textId="77777777" w:rsidR="00EF0337" w:rsidRDefault="00EF0337" w:rsidP="00115AE5">
      <w:pPr>
        <w:pStyle w:val="Heading1"/>
        <w:rPr>
          <w:rFonts w:ascii="Georgia" w:hAnsi="Georgia"/>
        </w:rPr>
      </w:pPr>
    </w:p>
    <w:p w14:paraId="55BA8CB5" w14:textId="77777777" w:rsidR="00EF0337" w:rsidRDefault="00EF0337" w:rsidP="00115AE5">
      <w:pPr>
        <w:pStyle w:val="Heading1"/>
        <w:rPr>
          <w:rFonts w:ascii="Georgia" w:hAnsi="Georgia"/>
        </w:rPr>
      </w:pPr>
    </w:p>
    <w:p w14:paraId="70B4DF08" w14:textId="77777777" w:rsidR="00EF0337" w:rsidRDefault="00EF0337" w:rsidP="00115AE5">
      <w:pPr>
        <w:pStyle w:val="Heading1"/>
        <w:rPr>
          <w:rFonts w:ascii="Georgia" w:hAnsi="Georgia"/>
        </w:rPr>
      </w:pPr>
    </w:p>
    <w:p w14:paraId="65DD2998" w14:textId="77777777" w:rsidR="00EF0337" w:rsidRDefault="00EF0337" w:rsidP="00115AE5">
      <w:pPr>
        <w:pStyle w:val="Heading1"/>
        <w:rPr>
          <w:rFonts w:ascii="Georgia" w:hAnsi="Georgia"/>
        </w:rPr>
      </w:pPr>
    </w:p>
    <w:p w14:paraId="70919770" w14:textId="77777777" w:rsidR="00EF0337" w:rsidRDefault="00EF0337" w:rsidP="00115AE5">
      <w:pPr>
        <w:pStyle w:val="Heading1"/>
        <w:rPr>
          <w:rFonts w:ascii="Georgia" w:hAnsi="Georgia"/>
        </w:rPr>
      </w:pPr>
    </w:p>
    <w:p w14:paraId="1C6BA11F" w14:textId="77777777" w:rsidR="00EF0337" w:rsidRDefault="00EF0337" w:rsidP="00115AE5">
      <w:pPr>
        <w:pStyle w:val="Heading1"/>
        <w:rPr>
          <w:rFonts w:ascii="Georgia" w:hAnsi="Georgia"/>
        </w:rPr>
      </w:pPr>
    </w:p>
    <w:p w14:paraId="6810D86F" w14:textId="77777777" w:rsidR="00EF0337" w:rsidRDefault="00EF0337" w:rsidP="00115AE5">
      <w:pPr>
        <w:pStyle w:val="Heading1"/>
        <w:rPr>
          <w:rFonts w:ascii="Georgia" w:hAnsi="Georgia"/>
        </w:rPr>
      </w:pPr>
    </w:p>
    <w:p w14:paraId="694C00AD" w14:textId="77777777" w:rsidR="00EF0337" w:rsidRDefault="00EF0337" w:rsidP="00115AE5">
      <w:pPr>
        <w:pStyle w:val="Heading1"/>
        <w:rPr>
          <w:rFonts w:ascii="Georgia" w:hAnsi="Georgia"/>
        </w:rPr>
      </w:pPr>
    </w:p>
    <w:p w14:paraId="23C2CB56" w14:textId="77777777" w:rsidR="00EF0337" w:rsidRDefault="00EF0337" w:rsidP="00115AE5">
      <w:pPr>
        <w:pStyle w:val="Heading1"/>
        <w:rPr>
          <w:rFonts w:ascii="Georgia" w:hAnsi="Georgia"/>
        </w:rPr>
      </w:pPr>
    </w:p>
    <w:p w14:paraId="02FF5798" w14:textId="77777777" w:rsidR="00EF0337" w:rsidRDefault="00EF0337">
      <w:pPr>
        <w:rPr>
          <w:rFonts w:eastAsiaTheme="majorEastAsia" w:cstheme="majorBidi"/>
          <w:color w:val="2F5496" w:themeColor="accent1" w:themeShade="BF"/>
          <w:sz w:val="32"/>
          <w:szCs w:val="32"/>
        </w:rPr>
      </w:pPr>
      <w:r>
        <w:br w:type="page"/>
      </w:r>
    </w:p>
    <w:p w14:paraId="18D02249" w14:textId="77777777" w:rsidR="00152C12" w:rsidRPr="009141CA" w:rsidRDefault="00133BC3" w:rsidP="00F15DDA">
      <w:pPr>
        <w:pStyle w:val="Heading1"/>
        <w:rPr>
          <w:rFonts w:ascii="Georgia" w:hAnsi="Georgia"/>
          <w:b/>
          <w:bCs/>
        </w:rPr>
      </w:pPr>
      <w:bookmarkStart w:id="2" w:name="_Toc63885353"/>
      <w:r w:rsidRPr="009141CA">
        <w:rPr>
          <w:rFonts w:ascii="Georgia" w:hAnsi="Georgia"/>
          <w:b/>
          <w:bCs/>
        </w:rPr>
        <w:lastRenderedPageBreak/>
        <w:t>Sommaire</w:t>
      </w:r>
      <w:bookmarkEnd w:id="2"/>
      <w:bookmarkEnd w:id="1"/>
    </w:p>
    <w:p w14:paraId="03C0099E" w14:textId="77777777" w:rsidR="002F2DD8" w:rsidRDefault="002F2DD8" w:rsidP="002F2DD8"/>
    <w:p w14:paraId="793D9443" w14:textId="77777777" w:rsidR="002F2DD8" w:rsidRDefault="002F2DD8" w:rsidP="00FB7ACD">
      <w:pPr>
        <w:outlineLvl w:val="0"/>
        <w:rPr>
          <w:b/>
          <w:sz w:val="24"/>
          <w:szCs w:val="24"/>
        </w:rPr>
      </w:pPr>
      <w:bookmarkStart w:id="3" w:name="_Toc63885354"/>
      <w:r>
        <w:rPr>
          <w:b/>
          <w:sz w:val="24"/>
        </w:rPr>
        <w:t>Introduction</w:t>
      </w:r>
      <w:bookmarkEnd w:id="3"/>
    </w:p>
    <w:p w14:paraId="4A6DD270" w14:textId="77777777" w:rsidR="002F2DD8" w:rsidRPr="002F2DD8" w:rsidRDefault="002F2DD8" w:rsidP="002F2DD8">
      <w:pPr>
        <w:rPr>
          <w:b/>
        </w:rPr>
      </w:pPr>
    </w:p>
    <w:p w14:paraId="722EF584" w14:textId="4581A483" w:rsidR="002F2DD8" w:rsidRPr="002F2DD8" w:rsidRDefault="002F2DD8" w:rsidP="002F2DD8">
      <w:pPr>
        <w:pStyle w:val="NoSpacing"/>
        <w:rPr>
          <w:rFonts w:ascii="Georgia" w:hAnsi="Georgia" w:cstheme="majorHAnsi"/>
        </w:rPr>
      </w:pPr>
      <w:r>
        <w:rPr>
          <w:rFonts w:ascii="Georgia" w:hAnsi="Georgia"/>
        </w:rPr>
        <w:t>Dans le cadre de sa stratégie pour la période 2017-2022</w:t>
      </w:r>
      <w:r w:rsidR="00E52A16">
        <w:rPr>
          <w:rFonts w:ascii="Georgia" w:hAnsi="Georgia"/>
        </w:rPr>
        <w:t xml:space="preserve">, </w:t>
      </w:r>
      <w:r>
        <w:rPr>
          <w:rFonts w:ascii="Georgia" w:hAnsi="Georgia"/>
          <w:i/>
        </w:rPr>
        <w:t>Investir pour mettre fin aux épidémies</w:t>
      </w:r>
      <w:r>
        <w:rPr>
          <w:rFonts w:ascii="Georgia" w:hAnsi="Georgia"/>
        </w:rPr>
        <w:t>, le Fonds mondial de lutte contre le sida, la tuberculose et le paludisme s</w:t>
      </w:r>
      <w:r w:rsidR="000D04EB">
        <w:rPr>
          <w:rFonts w:ascii="Georgia" w:hAnsi="Georgia"/>
        </w:rPr>
        <w:t>’</w:t>
      </w:r>
      <w:r>
        <w:rPr>
          <w:rFonts w:ascii="Georgia" w:hAnsi="Georgia"/>
        </w:rPr>
        <w:t>est joint aux parties prenantes des pays, aux partenaires techniques et à d</w:t>
      </w:r>
      <w:r w:rsidR="000D04EB">
        <w:rPr>
          <w:rFonts w:ascii="Georgia" w:hAnsi="Georgia"/>
        </w:rPr>
        <w:t>’</w:t>
      </w:r>
      <w:r>
        <w:rPr>
          <w:rFonts w:ascii="Georgia" w:hAnsi="Georgia"/>
        </w:rPr>
        <w:t>autres donateurs pour intensifier les investissements dans des programmes visant à éliminer les obstacles liés aux droits humains qui entravent les services de lutte contre le VIH, la tuberculose et le paludisme. En effet, le Fonds mondial estime que ces programmes, en acheminant des soins de santé vers les populations les plus touchées par les trois maladies, constituent un excellent moyen d’augmenter l’efficacité de ses subventions</w:t>
      </w:r>
      <w:r w:rsidR="00F16AB6">
        <w:rPr>
          <w:rFonts w:ascii="Georgia" w:hAnsi="Georgia"/>
        </w:rPr>
        <w:t xml:space="preserve">. </w:t>
      </w:r>
      <w:r>
        <w:rPr>
          <w:rFonts w:ascii="Georgia" w:hAnsi="Georgia"/>
        </w:rPr>
        <w:t>L’objectif stratégique</w:t>
      </w:r>
      <w:r w:rsidR="00730362">
        <w:rPr>
          <w:rFonts w:ascii="Georgia" w:hAnsi="Georgia"/>
        </w:rPr>
        <w:t> </w:t>
      </w:r>
      <w:r>
        <w:rPr>
          <w:rFonts w:ascii="Georgia" w:hAnsi="Georgia"/>
        </w:rPr>
        <w:t>3 de la stratégie engage le Fonds mondial à «</w:t>
      </w:r>
      <w:r w:rsidR="000D04EB">
        <w:rPr>
          <w:rFonts w:ascii="Georgia" w:hAnsi="Georgia"/>
        </w:rPr>
        <w:t> </w:t>
      </w:r>
      <w:r>
        <w:rPr>
          <w:rFonts w:ascii="Georgia" w:hAnsi="Georgia"/>
        </w:rPr>
        <w:t>mettre en place puis intensifier des programmes visant à éliminer les obstacles en rapport avec les droits humains, qui empêchent d’accéder aux services de lutte contre le VIH, la tuberculose et le paludisme</w:t>
      </w:r>
      <w:r w:rsidR="000D04EB">
        <w:rPr>
          <w:rFonts w:ascii="Georgia" w:hAnsi="Georgia"/>
        </w:rPr>
        <w:t> </w:t>
      </w:r>
      <w:r>
        <w:rPr>
          <w:rFonts w:ascii="Georgia" w:hAnsi="Georgia"/>
        </w:rPr>
        <w:t>».</w:t>
      </w:r>
      <w:r w:rsidRPr="002F2DD8">
        <w:rPr>
          <w:rStyle w:val="FootnoteReference"/>
          <w:rFonts w:ascii="Georgia" w:hAnsi="Georgia" w:cstheme="majorHAnsi"/>
          <w:lang w:val="en-GB"/>
        </w:rPr>
        <w:footnoteReference w:id="2"/>
      </w:r>
      <w:r>
        <w:rPr>
          <w:rFonts w:ascii="Georgia" w:hAnsi="Georgia"/>
        </w:rPr>
        <w:t xml:space="preserve"> </w:t>
      </w:r>
    </w:p>
    <w:p w14:paraId="0E8DB933" w14:textId="77777777" w:rsidR="002F2DD8" w:rsidRPr="002F2DD8" w:rsidRDefault="002F2DD8" w:rsidP="002F2DD8">
      <w:pPr>
        <w:pStyle w:val="NoSpacing"/>
        <w:rPr>
          <w:rFonts w:ascii="Georgia" w:hAnsi="Georgia" w:cstheme="majorHAnsi"/>
        </w:rPr>
      </w:pPr>
    </w:p>
    <w:p w14:paraId="6E0690E6" w14:textId="0A310BB5" w:rsidR="002F2DD8" w:rsidRPr="002F2DD8" w:rsidRDefault="002F2DD8" w:rsidP="002F2DD8">
      <w:pPr>
        <w:pStyle w:val="NoSpacing"/>
        <w:rPr>
          <w:rFonts w:ascii="Georgia" w:hAnsi="Georgia" w:cstheme="majorHAnsi"/>
        </w:rPr>
      </w:pPr>
      <w:r>
        <w:rPr>
          <w:rFonts w:ascii="Georgia" w:hAnsi="Georgia"/>
        </w:rPr>
        <w:t xml:space="preserve">Pour atteindre cet objectif, le Fonds mondial s’est lancé dans une initiative ambitieuse : </w:t>
      </w:r>
      <w:r w:rsidRPr="00167641">
        <w:rPr>
          <w:rFonts w:ascii="Georgia" w:hAnsi="Georgia"/>
          <w:iCs/>
        </w:rPr>
        <w:t>« Lever les obstacles »</w:t>
      </w:r>
      <w:r w:rsidR="00397F0D">
        <w:rPr>
          <w:rFonts w:ascii="Georgia" w:hAnsi="Georgia"/>
        </w:rPr>
        <w:t>.</w:t>
      </w:r>
      <w:r>
        <w:rPr>
          <w:rFonts w:ascii="Georgia" w:hAnsi="Georgia"/>
        </w:rPr>
        <w:t xml:space="preserve"> </w:t>
      </w:r>
      <w:r w:rsidR="00397F0D">
        <w:rPr>
          <w:rFonts w:ascii="Georgia" w:hAnsi="Georgia"/>
        </w:rPr>
        <w:t xml:space="preserve">L’initiative </w:t>
      </w:r>
      <w:r>
        <w:rPr>
          <w:rFonts w:ascii="Georgia" w:hAnsi="Georgia"/>
        </w:rPr>
        <w:t>vise une intensification sans précédent des programmes d’élimination des obstacles liés aux droits humains qui entravent l’accès aux services de lutte contre le VIH, la tuberculose et le paludisme</w:t>
      </w:r>
      <w:r w:rsidR="00F16AB6">
        <w:rPr>
          <w:rFonts w:ascii="Georgia" w:hAnsi="Georgia"/>
        </w:rPr>
        <w:t xml:space="preserve">. </w:t>
      </w:r>
      <w:r w:rsidRPr="00167641">
        <w:rPr>
          <w:rFonts w:ascii="Georgia" w:hAnsi="Georgia"/>
          <w:iCs/>
        </w:rPr>
        <w:t>« Lever les obstacles »</w:t>
      </w:r>
      <w:r>
        <w:rPr>
          <w:rFonts w:ascii="Georgia" w:hAnsi="Georgia"/>
        </w:rPr>
        <w:t xml:space="preserve"> apporte une aide soutenue à 20 pays</w:t>
      </w:r>
      <w:r w:rsidRPr="002F2DD8">
        <w:rPr>
          <w:rStyle w:val="FootnoteReference"/>
          <w:rFonts w:ascii="Georgia" w:hAnsi="Georgia" w:cstheme="majorHAnsi"/>
        </w:rPr>
        <w:footnoteReference w:id="3"/>
      </w:r>
      <w:r>
        <w:rPr>
          <w:rFonts w:ascii="Georgia" w:hAnsi="Georgia"/>
        </w:rPr>
        <w:t xml:space="preserve"> où les besoins, les possibilités, les capacités et les partenariats représentent une véritable occasion de </w:t>
      </w:r>
      <w:proofErr w:type="spellStart"/>
      <w:r>
        <w:rPr>
          <w:rFonts w:ascii="Georgia" w:hAnsi="Georgia"/>
        </w:rPr>
        <w:t>mise</w:t>
      </w:r>
      <w:proofErr w:type="spellEnd"/>
      <w:r>
        <w:rPr>
          <w:rFonts w:ascii="Georgia" w:hAnsi="Georgia"/>
        </w:rPr>
        <w:t xml:space="preserve"> à l’échelle susceptible de se traduire par </w:t>
      </w:r>
      <w:r w:rsidR="00EB3418">
        <w:rPr>
          <w:rFonts w:ascii="Georgia" w:hAnsi="Georgia"/>
        </w:rPr>
        <w:t xml:space="preserve">une </w:t>
      </w:r>
      <w:r>
        <w:rPr>
          <w:rFonts w:ascii="Georgia" w:hAnsi="Georgia"/>
        </w:rPr>
        <w:t>amélioration sensible de la santé des populations touchées. Cette aide soutenue prend plusieurs formes : a) injection supplémentaire d’importants fonds de contrepartie dans les programmes visant à éliminer les obstacles liés aux droits humains ; b) évaluations de référence de ces obstacles et des programmes à leur endroit ; c) réunions multipartites avec les pays pour l’examen des évaluations de référence et l’élaboration et le financement conjoint d’une réponse nationale aux obstacles ; d) appui à l</w:t>
      </w:r>
      <w:r w:rsidR="000D04EB">
        <w:rPr>
          <w:rFonts w:ascii="Georgia" w:hAnsi="Georgia"/>
        </w:rPr>
        <w:t>’</w:t>
      </w:r>
      <w:r>
        <w:rPr>
          <w:rFonts w:ascii="Georgia" w:hAnsi="Georgia"/>
        </w:rPr>
        <w:t>élaboration de plans ou de stratégies pluriannuels nationaux visant à lever les obstacles liés aux droits humains qui entravent l’accès aux services ; e) études de suivi pour évaluer l</w:t>
      </w:r>
      <w:r w:rsidR="000D04EB">
        <w:rPr>
          <w:rFonts w:ascii="Georgia" w:hAnsi="Georgia"/>
        </w:rPr>
        <w:t>’</w:t>
      </w:r>
      <w:r>
        <w:rPr>
          <w:rFonts w:ascii="Georgia" w:hAnsi="Georgia"/>
        </w:rPr>
        <w:t>impact de l</w:t>
      </w:r>
      <w:r w:rsidR="000D04EB">
        <w:rPr>
          <w:rFonts w:ascii="Georgia" w:hAnsi="Georgia"/>
        </w:rPr>
        <w:t>’</w:t>
      </w:r>
      <w:r>
        <w:rPr>
          <w:rFonts w:ascii="Georgia" w:hAnsi="Georgia"/>
        </w:rPr>
        <w:t>intensification</w:t>
      </w:r>
      <w:r w:rsidR="00F16AB6">
        <w:rPr>
          <w:rFonts w:ascii="Georgia" w:hAnsi="Georgia"/>
        </w:rPr>
        <w:t xml:space="preserve">. </w:t>
      </w:r>
    </w:p>
    <w:p w14:paraId="0CF1AA50" w14:textId="77777777" w:rsidR="002F2DD8" w:rsidRPr="002F2DD8" w:rsidRDefault="002F2DD8" w:rsidP="002F2DD8">
      <w:pPr>
        <w:pStyle w:val="NoSpacing"/>
        <w:rPr>
          <w:rFonts w:ascii="Georgia" w:hAnsi="Georgia" w:cstheme="majorHAnsi"/>
        </w:rPr>
      </w:pPr>
    </w:p>
    <w:p w14:paraId="2E1F8220" w14:textId="743EEC2E" w:rsidR="002F2DD8" w:rsidRPr="002F2DD8" w:rsidRDefault="002F2DD8" w:rsidP="002F2DD8">
      <w:pPr>
        <w:pStyle w:val="NoSpacing"/>
        <w:rPr>
          <w:rFonts w:ascii="Georgia" w:hAnsi="Georgia" w:cstheme="majorHAnsi"/>
        </w:rPr>
      </w:pPr>
      <w:r>
        <w:rPr>
          <w:rFonts w:ascii="Georgia" w:hAnsi="Georgia"/>
        </w:rPr>
        <w:t>On compte parmi les 20 pays participant à l’initiative des représentants de toutes les régions du Fonds mondial, dont des pays à fort impact, des contextes d’intervention difficile, des pays proches de la transition, des pays touchés par des épidémies concentrées et des pays participant à des initiatives d’intensification des programmes pour les femmes et les filles et d’élimination des barrières liées au genre qui entravent l’accès aux services</w:t>
      </w:r>
      <w:r w:rsidR="00F16AB6">
        <w:rPr>
          <w:rFonts w:ascii="Georgia" w:hAnsi="Georgia"/>
        </w:rPr>
        <w:t xml:space="preserve">. </w:t>
      </w:r>
      <w:r>
        <w:rPr>
          <w:rFonts w:ascii="Georgia" w:hAnsi="Georgia"/>
        </w:rPr>
        <w:t>Une liste des pays participants et des maladies ciblées dans les évaluations de référence se trouve dans le tableau en annexe.</w:t>
      </w:r>
    </w:p>
    <w:p w14:paraId="09CFCEE9" w14:textId="77777777" w:rsidR="002F2DD8" w:rsidRPr="002F2DD8" w:rsidRDefault="002F2DD8" w:rsidP="002F2DD8">
      <w:pPr>
        <w:pStyle w:val="NoSpacing"/>
        <w:rPr>
          <w:rFonts w:ascii="Georgia" w:hAnsi="Georgia" w:cstheme="majorHAnsi"/>
        </w:rPr>
      </w:pPr>
    </w:p>
    <w:p w14:paraId="0441667D" w14:textId="7319BB7C" w:rsidR="002F2DD8" w:rsidRPr="002F2DD8" w:rsidRDefault="002F2DD8" w:rsidP="002F2DD8">
      <w:pPr>
        <w:pStyle w:val="NoSpacing"/>
        <w:rPr>
          <w:rFonts w:ascii="Georgia" w:hAnsi="Georgia" w:cstheme="majorHAnsi"/>
        </w:rPr>
      </w:pPr>
      <w:r>
        <w:rPr>
          <w:rFonts w:ascii="Georgia" w:hAnsi="Georgia"/>
        </w:rPr>
        <w:t>Le présent document est un sommaire des évaluations de base réalisées dans 19 des 20 pays de 2017 à 2019 (l’évaluation du Kenya devrait être achevée prochainement)</w:t>
      </w:r>
      <w:r w:rsidR="00EB3418">
        <w:rPr>
          <w:rFonts w:ascii="Georgia" w:hAnsi="Georgia"/>
        </w:rPr>
        <w:t>. Il</w:t>
      </w:r>
      <w:r>
        <w:rPr>
          <w:rFonts w:ascii="Georgia" w:hAnsi="Georgia"/>
        </w:rPr>
        <w:t xml:space="preserve"> a servi de base pour la planification et la mise en œuvre de réponses globales aux obstacles liés aux droits humains qui entravent l’accès aux services de lutte contre le VIH, la tuberculose et le paludisme</w:t>
      </w:r>
      <w:r w:rsidR="00F16AB6">
        <w:rPr>
          <w:rFonts w:ascii="Georgia" w:hAnsi="Georgia"/>
        </w:rPr>
        <w:t xml:space="preserve">. </w:t>
      </w:r>
    </w:p>
    <w:p w14:paraId="3299A8BC" w14:textId="77777777" w:rsidR="002F2DD8" w:rsidRPr="002F2DD8" w:rsidRDefault="002F2DD8" w:rsidP="00FB7ACD">
      <w:pPr>
        <w:outlineLvl w:val="0"/>
        <w:rPr>
          <w:b/>
          <w:sz w:val="24"/>
          <w:szCs w:val="24"/>
        </w:rPr>
      </w:pPr>
      <w:bookmarkStart w:id="4" w:name="_Toc63885355"/>
      <w:r>
        <w:rPr>
          <w:b/>
          <w:sz w:val="24"/>
        </w:rPr>
        <w:lastRenderedPageBreak/>
        <w:t>Objectifs et méthodes des évaluations de référence</w:t>
      </w:r>
      <w:bookmarkEnd w:id="4"/>
    </w:p>
    <w:p w14:paraId="4BEAF329" w14:textId="77777777" w:rsidR="002F2DD8" w:rsidRPr="002F2DD8" w:rsidRDefault="002F2DD8" w:rsidP="002F2DD8">
      <w:pPr>
        <w:pStyle w:val="NoSpacing"/>
        <w:rPr>
          <w:rFonts w:ascii="Georgia" w:hAnsi="Georgia" w:cstheme="minorHAnsi"/>
        </w:rPr>
      </w:pPr>
      <w:r>
        <w:rPr>
          <w:rFonts w:ascii="Georgia" w:hAnsi="Georgia"/>
        </w:rPr>
        <w:t xml:space="preserve">Les objectifs des évaluations de référence étaient les suivants : </w:t>
      </w:r>
    </w:p>
    <w:p w14:paraId="0F7F54F3" w14:textId="77777777" w:rsidR="002F2DD8" w:rsidRPr="002F2DD8" w:rsidRDefault="002F2DD8" w:rsidP="002F2DD8">
      <w:pPr>
        <w:pStyle w:val="NoSpacing"/>
        <w:numPr>
          <w:ilvl w:val="0"/>
          <w:numId w:val="39"/>
        </w:numPr>
        <w:ind w:left="720" w:hanging="270"/>
        <w:rPr>
          <w:rFonts w:ascii="Georgia" w:hAnsi="Georgia" w:cstheme="minorHAnsi"/>
        </w:rPr>
      </w:pPr>
      <w:r>
        <w:rPr>
          <w:rFonts w:ascii="Georgia" w:hAnsi="Georgia"/>
        </w:rPr>
        <w:t>relever les principaux obstacles liés aux droits humains qui entravent l’accès aux services de lutte contre le VIH et, dans certains cas, aux services de lutte contre la tuberculose et le paludisme dans chaque pays (voir le tableau en annexe) ;</w:t>
      </w:r>
    </w:p>
    <w:p w14:paraId="22EA94B8" w14:textId="0CED89E2" w:rsidR="002F2DD8" w:rsidRPr="002F2DD8" w:rsidRDefault="002F2DD8" w:rsidP="002F2DD8">
      <w:pPr>
        <w:pStyle w:val="NoSpacing"/>
        <w:numPr>
          <w:ilvl w:val="0"/>
          <w:numId w:val="39"/>
        </w:numPr>
        <w:ind w:left="720" w:hanging="270"/>
        <w:rPr>
          <w:rFonts w:ascii="Georgia" w:hAnsi="Georgia" w:cstheme="minorHAnsi"/>
        </w:rPr>
      </w:pPr>
      <w:r>
        <w:rPr>
          <w:rFonts w:ascii="Georgia" w:hAnsi="Georgia"/>
        </w:rPr>
        <w:t>brosser un portrait des programmes récents ou existants visant, entre autres, à éliminer ces obstacles, qui servira plus tard de point de comparaison pour la mesure de l</w:t>
      </w:r>
      <w:r w:rsidR="000D04EB">
        <w:rPr>
          <w:rFonts w:ascii="Georgia" w:hAnsi="Georgia"/>
        </w:rPr>
        <w:t>’</w:t>
      </w:r>
      <w:r>
        <w:rPr>
          <w:rFonts w:ascii="Georgia" w:hAnsi="Georgia"/>
        </w:rPr>
        <w:t xml:space="preserve">impact de l’intensification des programmes ; </w:t>
      </w:r>
    </w:p>
    <w:p w14:paraId="1C58114A" w14:textId="77777777" w:rsidR="002F2DD8" w:rsidRPr="002F2DD8" w:rsidRDefault="002F2DD8" w:rsidP="002F2DD8">
      <w:pPr>
        <w:pStyle w:val="NoSpacing"/>
        <w:numPr>
          <w:ilvl w:val="0"/>
          <w:numId w:val="39"/>
        </w:numPr>
        <w:ind w:left="720" w:hanging="270"/>
        <w:rPr>
          <w:rFonts w:ascii="Georgia" w:hAnsi="Georgia" w:cstheme="minorHAnsi"/>
        </w:rPr>
      </w:pPr>
      <w:r>
        <w:rPr>
          <w:rFonts w:ascii="Georgia" w:hAnsi="Georgia"/>
        </w:rPr>
        <w:t>décrire la teneur d’une réponse globale aux obstacles existants en termes de types de programmes, de couverture et de coûts ;</w:t>
      </w:r>
    </w:p>
    <w:p w14:paraId="799C116E" w14:textId="77777777" w:rsidR="002F2DD8" w:rsidRPr="002F2DD8" w:rsidRDefault="002F2DD8" w:rsidP="002F2DD8">
      <w:pPr>
        <w:pStyle w:val="NoSpacing"/>
        <w:numPr>
          <w:ilvl w:val="0"/>
          <w:numId w:val="39"/>
        </w:numPr>
        <w:ind w:left="720" w:hanging="270"/>
        <w:rPr>
          <w:rFonts w:ascii="Georgia" w:hAnsi="Georgia" w:cstheme="minorHAnsi"/>
        </w:rPr>
      </w:pPr>
      <w:r>
        <w:rPr>
          <w:rFonts w:ascii="Georgia" w:hAnsi="Georgia"/>
        </w:rPr>
        <w:t>relever les possibilités d’intensifier ces programmes dans le cadre de la Stratégie du Fonds mondial pour la période 2017-2022.</w:t>
      </w:r>
    </w:p>
    <w:p w14:paraId="7355A916" w14:textId="77777777" w:rsidR="002F2DD8" w:rsidRPr="000F6DE7" w:rsidRDefault="002F2DD8" w:rsidP="002F2DD8">
      <w:pPr>
        <w:pStyle w:val="NoSpacing"/>
        <w:rPr>
          <w:rFonts w:ascii="Georgia" w:hAnsi="Georgia" w:cstheme="minorHAnsi"/>
        </w:rPr>
      </w:pPr>
    </w:p>
    <w:p w14:paraId="3844A236" w14:textId="195132C3" w:rsidR="002F2DD8" w:rsidRPr="002F2DD8" w:rsidRDefault="002F2DD8" w:rsidP="002F2DD8">
      <w:pPr>
        <w:pStyle w:val="NoSpacing"/>
        <w:rPr>
          <w:rFonts w:ascii="Georgia" w:hAnsi="Georgia" w:cstheme="minorHAnsi"/>
        </w:rPr>
      </w:pPr>
      <w:r>
        <w:rPr>
          <w:rFonts w:ascii="Georgia" w:hAnsi="Georgia"/>
        </w:rPr>
        <w:t>Les obstacles liés aux droits humains qui entravent l’accès aux services de santé sont nombreux et variés</w:t>
      </w:r>
      <w:r w:rsidR="00F16AB6">
        <w:rPr>
          <w:rFonts w:ascii="Georgia" w:hAnsi="Georgia"/>
        </w:rPr>
        <w:t xml:space="preserve">. </w:t>
      </w:r>
      <w:r>
        <w:rPr>
          <w:rFonts w:ascii="Georgia" w:hAnsi="Georgia"/>
        </w:rPr>
        <w:t>Pour orienter les évaluations, le Fonds mondial a demandé que les évaluations de référence se concentrent sur les obstacles dont les effets négatifs sur l’accès aux services ont été démontrés empiriquement, en particulier dans le cas du VIH et de la tuberculose, soit :</w:t>
      </w:r>
    </w:p>
    <w:p w14:paraId="3C0FB6C7" w14:textId="614972FC" w:rsidR="002F2DD8" w:rsidRPr="002F2DD8" w:rsidRDefault="0063207B" w:rsidP="002F2DD8">
      <w:pPr>
        <w:pStyle w:val="NoSpacing"/>
        <w:numPr>
          <w:ilvl w:val="0"/>
          <w:numId w:val="42"/>
        </w:numPr>
        <w:rPr>
          <w:rFonts w:ascii="Georgia" w:hAnsi="Georgia" w:cstheme="minorHAnsi"/>
        </w:rPr>
      </w:pPr>
      <w:r>
        <w:rPr>
          <w:rFonts w:ascii="Georgia" w:hAnsi="Georgia"/>
        </w:rPr>
        <w:t>l</w:t>
      </w:r>
      <w:r w:rsidR="002F2DD8">
        <w:rPr>
          <w:rFonts w:ascii="Georgia" w:hAnsi="Georgia"/>
        </w:rPr>
        <w:t>e rejet social et la discrimination fondés sur l</w:t>
      </w:r>
      <w:r w:rsidR="000D04EB">
        <w:rPr>
          <w:rFonts w:ascii="Georgia" w:hAnsi="Georgia"/>
        </w:rPr>
        <w:t>’</w:t>
      </w:r>
      <w:r w:rsidR="002F2DD8">
        <w:rPr>
          <w:rFonts w:ascii="Georgia" w:hAnsi="Georgia"/>
        </w:rPr>
        <w:t>état de santé ou le handicap, le statut social ou juridique, l</w:t>
      </w:r>
      <w:r w:rsidR="000D04EB">
        <w:rPr>
          <w:rFonts w:ascii="Georgia" w:hAnsi="Georgia"/>
        </w:rPr>
        <w:t>’</w:t>
      </w:r>
      <w:r w:rsidR="002F2DD8">
        <w:rPr>
          <w:rFonts w:ascii="Georgia" w:hAnsi="Georgia"/>
        </w:rPr>
        <w:t>âge, le genre, l</w:t>
      </w:r>
      <w:r w:rsidR="000D04EB">
        <w:rPr>
          <w:rFonts w:ascii="Georgia" w:hAnsi="Georgia"/>
        </w:rPr>
        <w:t>’</w:t>
      </w:r>
      <w:r w:rsidR="002F2DD8">
        <w:rPr>
          <w:rFonts w:ascii="Georgia" w:hAnsi="Georgia"/>
        </w:rPr>
        <w:t>orientation ou l</w:t>
      </w:r>
      <w:r w:rsidR="000D04EB">
        <w:rPr>
          <w:rFonts w:ascii="Georgia" w:hAnsi="Georgia"/>
        </w:rPr>
        <w:t>’</w:t>
      </w:r>
      <w:r w:rsidR="002F2DD8">
        <w:rPr>
          <w:rFonts w:ascii="Georgia" w:hAnsi="Georgia"/>
        </w:rPr>
        <w:t>identité sexuelle, la pratique du commerce du sexe, la consommation de drogues, le statut d</w:t>
      </w:r>
      <w:r w:rsidR="000D04EB">
        <w:rPr>
          <w:rFonts w:ascii="Georgia" w:hAnsi="Georgia"/>
        </w:rPr>
        <w:t>’</w:t>
      </w:r>
      <w:r w:rsidR="002F2DD8">
        <w:rPr>
          <w:rFonts w:ascii="Georgia" w:hAnsi="Georgia"/>
        </w:rPr>
        <w:t>immigration ou de réfugié, etc. ;</w:t>
      </w:r>
    </w:p>
    <w:p w14:paraId="41E3BCDF" w14:textId="698CE0EE" w:rsidR="002F2DD8" w:rsidRPr="002F2DD8" w:rsidRDefault="009D16AF" w:rsidP="002F2DD8">
      <w:pPr>
        <w:pStyle w:val="NoSpacing"/>
        <w:numPr>
          <w:ilvl w:val="0"/>
          <w:numId w:val="42"/>
        </w:numPr>
        <w:rPr>
          <w:rFonts w:ascii="Georgia" w:hAnsi="Georgia" w:cstheme="minorHAnsi"/>
        </w:rPr>
      </w:pPr>
      <w:r>
        <w:rPr>
          <w:rFonts w:ascii="Georgia" w:hAnsi="Georgia"/>
        </w:rPr>
        <w:t xml:space="preserve">les </w:t>
      </w:r>
      <w:r w:rsidR="002F2DD8">
        <w:rPr>
          <w:rFonts w:ascii="Georgia" w:hAnsi="Georgia"/>
        </w:rPr>
        <w:t>inégalité</w:t>
      </w:r>
      <w:r>
        <w:rPr>
          <w:rFonts w:ascii="Georgia" w:hAnsi="Georgia"/>
        </w:rPr>
        <w:t>s</w:t>
      </w:r>
      <w:r w:rsidR="002F2DD8">
        <w:rPr>
          <w:rFonts w:ascii="Georgia" w:hAnsi="Georgia"/>
        </w:rPr>
        <w:t xml:space="preserve"> entre les genres et </w:t>
      </w:r>
      <w:r>
        <w:rPr>
          <w:rFonts w:ascii="Georgia" w:hAnsi="Georgia"/>
        </w:rPr>
        <w:t xml:space="preserve">la </w:t>
      </w:r>
      <w:r w:rsidR="002F2DD8">
        <w:rPr>
          <w:rFonts w:ascii="Georgia" w:hAnsi="Georgia"/>
        </w:rPr>
        <w:t>violence fondée sur le genre ;</w:t>
      </w:r>
    </w:p>
    <w:p w14:paraId="58D182EA" w14:textId="7D4E72A4" w:rsidR="002F2DD8" w:rsidRPr="002F2DD8" w:rsidRDefault="009D16AF" w:rsidP="002F2DD8">
      <w:pPr>
        <w:pStyle w:val="NoSpacing"/>
        <w:numPr>
          <w:ilvl w:val="0"/>
          <w:numId w:val="42"/>
        </w:numPr>
        <w:rPr>
          <w:rFonts w:ascii="Georgia" w:hAnsi="Georgia" w:cstheme="minorHAnsi"/>
        </w:rPr>
      </w:pPr>
      <w:r>
        <w:rPr>
          <w:rFonts w:ascii="Georgia" w:hAnsi="Georgia"/>
        </w:rPr>
        <w:t xml:space="preserve">les </w:t>
      </w:r>
      <w:r w:rsidR="002F2DD8">
        <w:rPr>
          <w:rFonts w:ascii="Georgia" w:hAnsi="Georgia"/>
        </w:rPr>
        <w:t>politiques, pratiques, lois et application</w:t>
      </w:r>
      <w:r>
        <w:rPr>
          <w:rFonts w:ascii="Georgia" w:hAnsi="Georgia"/>
        </w:rPr>
        <w:t>s</w:t>
      </w:r>
      <w:r w:rsidR="002F2DD8">
        <w:rPr>
          <w:rFonts w:ascii="Georgia" w:hAnsi="Georgia"/>
        </w:rPr>
        <w:t xml:space="preserve"> de </w:t>
      </w:r>
      <w:r>
        <w:rPr>
          <w:rFonts w:ascii="Georgia" w:hAnsi="Georgia"/>
        </w:rPr>
        <w:t xml:space="preserve">la </w:t>
      </w:r>
      <w:r w:rsidR="002F2DD8">
        <w:rPr>
          <w:rFonts w:ascii="Georgia" w:hAnsi="Georgia"/>
        </w:rPr>
        <w:t xml:space="preserve">loi </w:t>
      </w:r>
      <w:r w:rsidR="00225012">
        <w:rPr>
          <w:rFonts w:ascii="Georgia" w:hAnsi="Georgia"/>
        </w:rPr>
        <w:t xml:space="preserve">de nature </w:t>
      </w:r>
      <w:r w:rsidR="002F2DD8">
        <w:rPr>
          <w:rFonts w:ascii="Georgia" w:hAnsi="Georgia"/>
        </w:rPr>
        <w:t xml:space="preserve">punitives </w:t>
      </w:r>
      <w:r w:rsidR="00225012">
        <w:rPr>
          <w:rFonts w:ascii="Georgia" w:hAnsi="Georgia"/>
        </w:rPr>
        <w:t xml:space="preserve">qui </w:t>
      </w:r>
      <w:r w:rsidR="002F2DD8">
        <w:rPr>
          <w:rFonts w:ascii="Georgia" w:hAnsi="Georgia"/>
        </w:rPr>
        <w:t>entrave</w:t>
      </w:r>
      <w:r w:rsidR="00225012">
        <w:rPr>
          <w:rFonts w:ascii="Georgia" w:hAnsi="Georgia"/>
        </w:rPr>
        <w:t>nt</w:t>
      </w:r>
      <w:r w:rsidR="002F2DD8">
        <w:rPr>
          <w:rFonts w:ascii="Georgia" w:hAnsi="Georgia"/>
        </w:rPr>
        <w:t xml:space="preserve"> l</w:t>
      </w:r>
      <w:r w:rsidR="000D04EB">
        <w:rPr>
          <w:rFonts w:ascii="Georgia" w:hAnsi="Georgia"/>
        </w:rPr>
        <w:t>’</w:t>
      </w:r>
      <w:r w:rsidR="002F2DD8">
        <w:rPr>
          <w:rFonts w:ascii="Georgia" w:hAnsi="Georgia"/>
        </w:rPr>
        <w:t>accès aux services de santé ;</w:t>
      </w:r>
    </w:p>
    <w:p w14:paraId="789824EB" w14:textId="1F13B588" w:rsidR="002F2DD8" w:rsidRPr="002F2DD8" w:rsidRDefault="00E459A5" w:rsidP="002F2DD8">
      <w:pPr>
        <w:pStyle w:val="NoSpacing"/>
        <w:numPr>
          <w:ilvl w:val="0"/>
          <w:numId w:val="42"/>
        </w:numPr>
        <w:rPr>
          <w:rFonts w:ascii="Georgia" w:hAnsi="Georgia" w:cstheme="minorHAnsi"/>
        </w:rPr>
      </w:pPr>
      <w:r>
        <w:rPr>
          <w:rFonts w:ascii="Georgia" w:hAnsi="Georgia"/>
        </w:rPr>
        <w:t xml:space="preserve">la </w:t>
      </w:r>
      <w:r w:rsidR="002F2DD8">
        <w:rPr>
          <w:rFonts w:ascii="Georgia" w:hAnsi="Georgia"/>
        </w:rPr>
        <w:t xml:space="preserve">pauvreté et </w:t>
      </w:r>
      <w:r>
        <w:rPr>
          <w:rFonts w:ascii="Georgia" w:hAnsi="Georgia"/>
        </w:rPr>
        <w:t xml:space="preserve">les </w:t>
      </w:r>
      <w:r w:rsidR="002F2DD8">
        <w:rPr>
          <w:rFonts w:ascii="Georgia" w:hAnsi="Georgia"/>
        </w:rPr>
        <w:t>inégalités économiques ou sociales entraînant des risques pour la santé.</w:t>
      </w:r>
    </w:p>
    <w:p w14:paraId="7FCD4A5F" w14:textId="77777777" w:rsidR="002F2DD8" w:rsidRPr="000F6DE7" w:rsidRDefault="002F2DD8" w:rsidP="002F2DD8">
      <w:pPr>
        <w:pStyle w:val="NoSpacing"/>
        <w:rPr>
          <w:rFonts w:ascii="Georgia" w:hAnsi="Georgia" w:cstheme="minorHAnsi"/>
        </w:rPr>
      </w:pPr>
    </w:p>
    <w:p w14:paraId="01AB1A39" w14:textId="355D8422" w:rsidR="002F2DD8" w:rsidRPr="002F2DD8" w:rsidRDefault="002F2DD8" w:rsidP="002F2DD8">
      <w:pPr>
        <w:pStyle w:val="NoSpacing"/>
        <w:rPr>
          <w:rFonts w:ascii="Georgia" w:hAnsi="Georgia" w:cstheme="minorHAnsi"/>
        </w:rPr>
      </w:pPr>
      <w:r>
        <w:rPr>
          <w:rFonts w:ascii="Georgia" w:hAnsi="Georgia"/>
        </w:rPr>
        <w:t>Pour cerner les domaines programmatiques à inclure dans les évaluations de référence, le Fonds mondial s</w:t>
      </w:r>
      <w:r w:rsidR="000D04EB">
        <w:rPr>
          <w:rFonts w:ascii="Georgia" w:hAnsi="Georgia"/>
        </w:rPr>
        <w:t>’</w:t>
      </w:r>
      <w:r>
        <w:rPr>
          <w:rFonts w:ascii="Georgia" w:hAnsi="Georgia"/>
        </w:rPr>
        <w:t>est basé sur les pays et les partenaires (pour le VIH, l</w:t>
      </w:r>
      <w:r w:rsidR="000D04EB">
        <w:rPr>
          <w:rFonts w:ascii="Georgia" w:hAnsi="Georgia"/>
        </w:rPr>
        <w:t>’</w:t>
      </w:r>
      <w:r>
        <w:rPr>
          <w:rFonts w:ascii="Georgia" w:hAnsi="Georgia"/>
        </w:rPr>
        <w:t xml:space="preserve">ONUSIDA et les programmes que les gouvernements des pays se sont engagés à mettre en œuvre dans les </w:t>
      </w:r>
      <w:r>
        <w:rPr>
          <w:rFonts w:ascii="Georgia" w:hAnsi="Georgia"/>
          <w:i/>
        </w:rPr>
        <w:t xml:space="preserve">Déclarations politiques sur le </w:t>
      </w:r>
      <w:r w:rsidR="000D04EB">
        <w:rPr>
          <w:rFonts w:ascii="Georgia" w:hAnsi="Georgia"/>
          <w:i/>
        </w:rPr>
        <w:t>VIH</w:t>
      </w:r>
      <w:r>
        <w:rPr>
          <w:rFonts w:ascii="Georgia" w:hAnsi="Georgia"/>
          <w:i/>
        </w:rPr>
        <w:t>/sida</w:t>
      </w:r>
      <w:r>
        <w:rPr>
          <w:rFonts w:ascii="Georgia" w:hAnsi="Georgia"/>
        </w:rPr>
        <w:t xml:space="preserve"> de 2011 et de 2016 ; pour la tuberculose et le paludisme, des consultations auprès des experts en tuberculose et en paludisme et des communautés)</w:t>
      </w:r>
      <w:r w:rsidR="0096558C">
        <w:rPr>
          <w:rFonts w:ascii="Georgia" w:hAnsi="Georgia"/>
        </w:rPr>
        <w:t>.</w:t>
      </w:r>
      <w:r w:rsidRPr="002F2DD8">
        <w:rPr>
          <w:rStyle w:val="FootnoteReference"/>
          <w:rFonts w:ascii="Georgia" w:hAnsi="Georgia" w:cstheme="minorHAnsi"/>
          <w:lang w:val="en-GB"/>
        </w:rPr>
        <w:footnoteReference w:id="4"/>
      </w:r>
      <w:r>
        <w:rPr>
          <w:rFonts w:ascii="Georgia" w:hAnsi="Georgia"/>
        </w:rPr>
        <w:t xml:space="preserve"> En ce qui concerne le VIH, les domaines programmatiques sont les suivants</w:t>
      </w:r>
      <w:r w:rsidR="000D04EB">
        <w:rPr>
          <w:rFonts w:ascii="Georgia" w:hAnsi="Georgia"/>
        </w:rPr>
        <w:t> </w:t>
      </w:r>
      <w:r>
        <w:rPr>
          <w:rFonts w:ascii="Georgia" w:hAnsi="Georgia"/>
        </w:rPr>
        <w:t xml:space="preserve">: </w:t>
      </w:r>
    </w:p>
    <w:p w14:paraId="1C19ABFD" w14:textId="77777777" w:rsidR="002F2DD8" w:rsidRPr="002F2DD8" w:rsidRDefault="002F2DD8" w:rsidP="002F2DD8">
      <w:pPr>
        <w:pStyle w:val="NoSpacing"/>
        <w:numPr>
          <w:ilvl w:val="0"/>
          <w:numId w:val="43"/>
        </w:numPr>
        <w:rPr>
          <w:rFonts w:ascii="Georgia" w:hAnsi="Georgia" w:cstheme="minorHAnsi"/>
        </w:rPr>
      </w:pPr>
      <w:r>
        <w:rPr>
          <w:rFonts w:ascii="Georgia" w:hAnsi="Georgia"/>
        </w:rPr>
        <w:t>programmes de lutte contre le rejet social et la discrimination liés au VIH ;</w:t>
      </w:r>
    </w:p>
    <w:p w14:paraId="1FE7D3FE" w14:textId="77777777" w:rsidR="002F2DD8" w:rsidRPr="002F2DD8" w:rsidRDefault="002F2DD8" w:rsidP="002F2DD8">
      <w:pPr>
        <w:pStyle w:val="NoSpacing"/>
        <w:numPr>
          <w:ilvl w:val="0"/>
          <w:numId w:val="40"/>
        </w:numPr>
        <w:rPr>
          <w:rFonts w:ascii="Georgia" w:hAnsi="Georgia" w:cstheme="minorHAnsi"/>
        </w:rPr>
      </w:pPr>
      <w:r>
        <w:rPr>
          <w:rFonts w:ascii="Georgia" w:hAnsi="Georgia"/>
        </w:rPr>
        <w:t>programmes de formation sur les droits humains et l’éthique en lien avec le VIH à l’intention des travailleurs de la santé ;</w:t>
      </w:r>
    </w:p>
    <w:p w14:paraId="1BBC81E8" w14:textId="7226014A" w:rsidR="002F2DD8" w:rsidRPr="002F2DD8" w:rsidRDefault="002F2DD8" w:rsidP="002F2DD8">
      <w:pPr>
        <w:pStyle w:val="NoSpacing"/>
        <w:numPr>
          <w:ilvl w:val="0"/>
          <w:numId w:val="40"/>
        </w:numPr>
        <w:rPr>
          <w:rFonts w:ascii="Georgia" w:hAnsi="Georgia" w:cstheme="minorHAnsi"/>
        </w:rPr>
      </w:pPr>
      <w:r>
        <w:rPr>
          <w:rFonts w:ascii="Georgia" w:hAnsi="Georgia"/>
        </w:rPr>
        <w:t>programmes de sensibilisation des législateurs et des agents d</w:t>
      </w:r>
      <w:r w:rsidR="000D04EB">
        <w:rPr>
          <w:rFonts w:ascii="Georgia" w:hAnsi="Georgia"/>
        </w:rPr>
        <w:t>’</w:t>
      </w:r>
      <w:r>
        <w:rPr>
          <w:rFonts w:ascii="Georgia" w:hAnsi="Georgia"/>
        </w:rPr>
        <w:t>application de la loi ;</w:t>
      </w:r>
    </w:p>
    <w:p w14:paraId="29D05176" w14:textId="77777777" w:rsidR="002F2DD8" w:rsidRPr="002F2DD8" w:rsidRDefault="002F2DD8" w:rsidP="002F2DD8">
      <w:pPr>
        <w:pStyle w:val="NoSpacing"/>
        <w:numPr>
          <w:ilvl w:val="0"/>
          <w:numId w:val="40"/>
        </w:numPr>
        <w:rPr>
          <w:rFonts w:ascii="Georgia" w:hAnsi="Georgia" w:cstheme="minorHAnsi"/>
        </w:rPr>
      </w:pPr>
      <w:r>
        <w:rPr>
          <w:rFonts w:ascii="Georgia" w:hAnsi="Georgia"/>
        </w:rPr>
        <w:t>programmes d’éducation juridique (« connaissez vos droits ») ;</w:t>
      </w:r>
    </w:p>
    <w:p w14:paraId="37D1EDD7" w14:textId="77777777" w:rsidR="002F2DD8" w:rsidRPr="002F2DD8" w:rsidRDefault="002F2DD8" w:rsidP="002F2DD8">
      <w:pPr>
        <w:pStyle w:val="NoSpacing"/>
        <w:numPr>
          <w:ilvl w:val="0"/>
          <w:numId w:val="40"/>
        </w:numPr>
        <w:rPr>
          <w:rFonts w:ascii="Georgia" w:hAnsi="Georgia" w:cstheme="minorHAnsi"/>
        </w:rPr>
      </w:pPr>
      <w:r>
        <w:rPr>
          <w:rFonts w:ascii="Georgia" w:hAnsi="Georgia"/>
        </w:rPr>
        <w:t>programmes de prestation de services juridiques liés au VIH ;</w:t>
      </w:r>
    </w:p>
    <w:p w14:paraId="0B9E2002" w14:textId="77777777" w:rsidR="002F2DD8" w:rsidRPr="002F2DD8" w:rsidRDefault="002F2DD8" w:rsidP="002F2DD8">
      <w:pPr>
        <w:pStyle w:val="NoSpacing"/>
        <w:numPr>
          <w:ilvl w:val="0"/>
          <w:numId w:val="40"/>
        </w:numPr>
        <w:rPr>
          <w:rFonts w:ascii="Georgia" w:hAnsi="Georgia" w:cstheme="minorHAnsi"/>
        </w:rPr>
      </w:pPr>
      <w:r>
        <w:rPr>
          <w:rFonts w:ascii="Georgia" w:hAnsi="Georgia"/>
        </w:rPr>
        <w:t>programmes de suivi et de réforme des lois, des règlements et des politiques relatifs au VIH ;</w:t>
      </w:r>
    </w:p>
    <w:p w14:paraId="4C3EAA78" w14:textId="7363E699" w:rsidR="002F2DD8" w:rsidRPr="002F2DD8" w:rsidRDefault="002F2DD8" w:rsidP="002F2DD8">
      <w:pPr>
        <w:pStyle w:val="NoSpacing"/>
        <w:numPr>
          <w:ilvl w:val="0"/>
          <w:numId w:val="40"/>
        </w:numPr>
        <w:rPr>
          <w:rFonts w:ascii="Georgia" w:hAnsi="Georgia" w:cstheme="minorHAnsi"/>
        </w:rPr>
      </w:pPr>
      <w:r>
        <w:rPr>
          <w:rFonts w:ascii="Georgia" w:hAnsi="Georgia"/>
        </w:rPr>
        <w:t>programmes de lutte contre la discrimination à l</w:t>
      </w:r>
      <w:r w:rsidR="000D04EB">
        <w:rPr>
          <w:rFonts w:ascii="Georgia" w:hAnsi="Georgia"/>
        </w:rPr>
        <w:t>’</w:t>
      </w:r>
      <w:r>
        <w:rPr>
          <w:rFonts w:ascii="Georgia" w:hAnsi="Georgia"/>
        </w:rPr>
        <w:t>égard des femmes et des filles dans le contexte du VIH.</w:t>
      </w:r>
    </w:p>
    <w:p w14:paraId="1B1E8AD9" w14:textId="77777777" w:rsidR="002F2DD8" w:rsidRPr="002F2DD8" w:rsidRDefault="002F2DD8" w:rsidP="002F2DD8">
      <w:pPr>
        <w:pStyle w:val="NoSpacing"/>
        <w:rPr>
          <w:rFonts w:ascii="Georgia" w:hAnsi="Georgia" w:cstheme="minorHAnsi"/>
        </w:rPr>
      </w:pPr>
    </w:p>
    <w:p w14:paraId="7DC164B8" w14:textId="3CC3EC76" w:rsidR="002F2DD8" w:rsidRPr="002F2DD8" w:rsidRDefault="002F2DD8" w:rsidP="002F2DD8">
      <w:pPr>
        <w:pStyle w:val="NoSpacing"/>
        <w:rPr>
          <w:rFonts w:ascii="Georgia" w:hAnsi="Georgia" w:cstheme="minorHAnsi"/>
        </w:rPr>
      </w:pPr>
      <w:r>
        <w:rPr>
          <w:rFonts w:ascii="Georgia" w:hAnsi="Georgia"/>
        </w:rPr>
        <w:lastRenderedPageBreak/>
        <w:t>En ce qui concerne la tuberculose, les domaines programmatiques visés dans l</w:t>
      </w:r>
      <w:r w:rsidR="000D04EB">
        <w:rPr>
          <w:rFonts w:ascii="Georgia" w:hAnsi="Georgia"/>
        </w:rPr>
        <w:t>’</w:t>
      </w:r>
      <w:r>
        <w:rPr>
          <w:rFonts w:ascii="Georgia" w:hAnsi="Georgia"/>
        </w:rPr>
        <w:t>évaluation comprennent les sept programmes de lutte contre le VIH mentionnés ci-dessus</w:t>
      </w:r>
      <w:r w:rsidR="00F16AB6">
        <w:rPr>
          <w:rFonts w:ascii="Georgia" w:hAnsi="Georgia"/>
        </w:rPr>
        <w:t xml:space="preserve">. </w:t>
      </w:r>
      <w:r>
        <w:rPr>
          <w:rFonts w:ascii="Georgia" w:hAnsi="Georgia"/>
        </w:rPr>
        <w:t>On estime que ceux-ci participent également à l’élimination des obstacles liés aux droits humains qui entravent les services de lutte contre la tuberculose</w:t>
      </w:r>
      <w:r w:rsidR="00F16AB6">
        <w:rPr>
          <w:rFonts w:ascii="Georgia" w:hAnsi="Georgia"/>
        </w:rPr>
        <w:t xml:space="preserve">. </w:t>
      </w:r>
      <w:r>
        <w:rPr>
          <w:rFonts w:ascii="Georgia" w:hAnsi="Georgia"/>
        </w:rPr>
        <w:t>Les programmes visant spécifiquement la tuberculose sont les suivants :</w:t>
      </w:r>
    </w:p>
    <w:p w14:paraId="7F41E864" w14:textId="77777777" w:rsidR="002F2DD8" w:rsidRPr="002F2DD8" w:rsidRDefault="002F2DD8" w:rsidP="002F2DD8">
      <w:pPr>
        <w:pStyle w:val="NoSpacing"/>
        <w:numPr>
          <w:ilvl w:val="0"/>
          <w:numId w:val="46"/>
        </w:numPr>
        <w:rPr>
          <w:rFonts w:ascii="Georgia" w:hAnsi="Georgia" w:cstheme="minorHAnsi"/>
        </w:rPr>
      </w:pPr>
      <w:r>
        <w:rPr>
          <w:rFonts w:ascii="Georgia" w:hAnsi="Georgia"/>
        </w:rPr>
        <w:t>programmes de protection de la confidentialité et la vie privée dans les services de lutte contre la tuberculose ;</w:t>
      </w:r>
    </w:p>
    <w:p w14:paraId="1E7D46C8" w14:textId="77777777" w:rsidR="002F2DD8" w:rsidRPr="002F2DD8" w:rsidRDefault="002F2DD8" w:rsidP="002F2DD8">
      <w:pPr>
        <w:pStyle w:val="NoSpacing"/>
        <w:numPr>
          <w:ilvl w:val="0"/>
          <w:numId w:val="46"/>
        </w:numPr>
        <w:rPr>
          <w:rFonts w:ascii="Georgia" w:hAnsi="Georgia" w:cstheme="minorHAnsi"/>
        </w:rPr>
      </w:pPr>
      <w:r>
        <w:rPr>
          <w:rFonts w:ascii="Georgia" w:hAnsi="Georgia"/>
        </w:rPr>
        <w:t>programmes de mobilisation et d’autonomisation des patients tuberculeux et des groupes communautaires ;</w:t>
      </w:r>
    </w:p>
    <w:p w14:paraId="47112346" w14:textId="5713BDAB" w:rsidR="002F2DD8" w:rsidRPr="002F2DD8" w:rsidRDefault="002F2DD8" w:rsidP="002F2DD8">
      <w:pPr>
        <w:pStyle w:val="NoSpacing"/>
        <w:numPr>
          <w:ilvl w:val="0"/>
          <w:numId w:val="46"/>
        </w:numPr>
        <w:rPr>
          <w:rFonts w:ascii="Georgia" w:hAnsi="Georgia" w:cstheme="minorHAnsi"/>
        </w:rPr>
      </w:pPr>
      <w:r>
        <w:rPr>
          <w:rFonts w:ascii="Georgia" w:hAnsi="Georgia"/>
        </w:rPr>
        <w:t>programmes d’amélioration des services de lutte contre la tuberculose dans les prisons et autres milieux fermés</w:t>
      </w:r>
      <w:r w:rsidR="00F16AB6">
        <w:rPr>
          <w:rFonts w:ascii="Georgia" w:hAnsi="Georgia"/>
        </w:rPr>
        <w:t xml:space="preserve">. </w:t>
      </w:r>
    </w:p>
    <w:p w14:paraId="77830C3E" w14:textId="77777777" w:rsidR="002F2DD8" w:rsidRPr="002F2DD8" w:rsidRDefault="002F2DD8" w:rsidP="002F2DD8">
      <w:pPr>
        <w:pStyle w:val="NoSpacing"/>
        <w:rPr>
          <w:rFonts w:ascii="Georgia" w:hAnsi="Georgia" w:cstheme="minorHAnsi"/>
        </w:rPr>
      </w:pPr>
    </w:p>
    <w:p w14:paraId="7979A23A" w14:textId="77777777" w:rsidR="002F2DD8" w:rsidRPr="002F2DD8" w:rsidRDefault="002F2DD8" w:rsidP="002F2DD8">
      <w:pPr>
        <w:pStyle w:val="NoSpacing"/>
        <w:rPr>
          <w:rFonts w:ascii="Georgia" w:hAnsi="Georgia" w:cstheme="minorHAnsi"/>
        </w:rPr>
      </w:pPr>
      <w:r>
        <w:rPr>
          <w:rFonts w:ascii="Georgia" w:hAnsi="Georgia"/>
        </w:rPr>
        <w:t>En ce qui concerne le paludisme, domaine où l’étude des obstacles liés aux droits humains est embryonnaire, les domaines programmatiques inclus dans les évaluations de référence sont les suivants :</w:t>
      </w:r>
    </w:p>
    <w:p w14:paraId="4A518714" w14:textId="7D6C90F2" w:rsidR="002F2DD8" w:rsidRPr="002F2DD8" w:rsidRDefault="002F2DD8" w:rsidP="002F2DD8">
      <w:pPr>
        <w:pStyle w:val="NoSpacing"/>
        <w:numPr>
          <w:ilvl w:val="0"/>
          <w:numId w:val="47"/>
        </w:numPr>
        <w:rPr>
          <w:rFonts w:ascii="Georgia" w:hAnsi="Georgia" w:cstheme="minorHAnsi"/>
        </w:rPr>
      </w:pPr>
      <w:r>
        <w:rPr>
          <w:rFonts w:ascii="Georgia" w:hAnsi="Georgia"/>
        </w:rPr>
        <w:t>évaluation des obstacles liés au genre qui entravent l’accès aux services</w:t>
      </w:r>
      <w:r w:rsidR="00545768">
        <w:rPr>
          <w:rFonts w:ascii="Georgia" w:hAnsi="Georgia"/>
        </w:rPr>
        <w:t xml:space="preserve">, </w:t>
      </w:r>
      <w:r>
        <w:rPr>
          <w:rFonts w:ascii="Georgia" w:hAnsi="Georgia"/>
        </w:rPr>
        <w:t xml:space="preserve">et réponses à ces obstacles ; </w:t>
      </w:r>
    </w:p>
    <w:p w14:paraId="34B7D56B" w14:textId="77777777" w:rsidR="002F2DD8" w:rsidRPr="002F2DD8" w:rsidRDefault="002F2DD8" w:rsidP="002F2DD8">
      <w:pPr>
        <w:pStyle w:val="NoSpacing"/>
        <w:numPr>
          <w:ilvl w:val="0"/>
          <w:numId w:val="46"/>
        </w:numPr>
        <w:rPr>
          <w:rFonts w:ascii="Georgia" w:hAnsi="Georgia" w:cstheme="minorHAnsi"/>
        </w:rPr>
      </w:pPr>
      <w:r>
        <w:rPr>
          <w:rFonts w:ascii="Georgia" w:hAnsi="Georgia"/>
        </w:rPr>
        <w:t>programmes visant à lever les obstacles auxquels sont confrontés les réfugiés, les migrants et autres populations mobiles dans le but de renforcer le rôle des communautés et des personnes touchées dans la prestation des services ;</w:t>
      </w:r>
    </w:p>
    <w:p w14:paraId="0B834AD5" w14:textId="77777777" w:rsidR="002F2DD8" w:rsidRPr="002F2DD8" w:rsidRDefault="002F2DD8" w:rsidP="002F2DD8">
      <w:pPr>
        <w:pStyle w:val="NoSpacing"/>
        <w:numPr>
          <w:ilvl w:val="0"/>
          <w:numId w:val="46"/>
        </w:numPr>
        <w:rPr>
          <w:rFonts w:ascii="Georgia" w:hAnsi="Georgia" w:cstheme="minorHAnsi"/>
        </w:rPr>
      </w:pPr>
      <w:r>
        <w:rPr>
          <w:rFonts w:ascii="Georgia" w:hAnsi="Georgia"/>
        </w:rPr>
        <w:t>amélioration des services dans les prisons et autres milieux fermés.</w:t>
      </w:r>
    </w:p>
    <w:p w14:paraId="46DA8281" w14:textId="77777777" w:rsidR="002F2DD8" w:rsidRPr="000F6DE7" w:rsidRDefault="002F2DD8" w:rsidP="002F2DD8">
      <w:pPr>
        <w:pStyle w:val="NoSpacing"/>
        <w:rPr>
          <w:rFonts w:ascii="Georgia" w:hAnsi="Georgia" w:cstheme="minorHAnsi"/>
        </w:rPr>
      </w:pPr>
    </w:p>
    <w:p w14:paraId="47CD6063" w14:textId="754CFB47" w:rsidR="002F2DD8" w:rsidRPr="002F2DD8" w:rsidRDefault="002F2DD8" w:rsidP="002F2DD8">
      <w:pPr>
        <w:pStyle w:val="NoSpacing"/>
        <w:rPr>
          <w:rFonts w:ascii="Georgia" w:hAnsi="Georgia" w:cstheme="minorHAnsi"/>
        </w:rPr>
      </w:pPr>
      <w:r>
        <w:rPr>
          <w:rFonts w:ascii="Georgia" w:hAnsi="Georgia"/>
        </w:rPr>
        <w:t>Le Fonds mondial a sélectionné par concours quatre groupes de recherche pour la réalisation des évaluations de référence.</w:t>
      </w:r>
      <w:r w:rsidRPr="002F2DD8">
        <w:rPr>
          <w:rStyle w:val="FootnoteReference"/>
          <w:rFonts w:ascii="Georgia" w:hAnsi="Georgia" w:cstheme="minorHAnsi"/>
          <w:lang w:val="en-GB"/>
        </w:rPr>
        <w:footnoteReference w:id="5"/>
      </w:r>
      <w:r>
        <w:rPr>
          <w:rFonts w:ascii="Georgia" w:hAnsi="Georgia"/>
        </w:rPr>
        <w:t xml:space="preserve"> Ces groupes de recherche étaient composés d’universitaires, d’ONG actives en recherche et de cabinets de services-conseils. Chaque groupe a travaillé dans un sous-ensemble de pays </w:t>
      </w:r>
      <w:r w:rsidR="00947701">
        <w:rPr>
          <w:rFonts w:ascii="Georgia" w:hAnsi="Georgia"/>
        </w:rPr>
        <w:t xml:space="preserve">dans </w:t>
      </w:r>
      <w:r>
        <w:rPr>
          <w:rFonts w:ascii="Georgia" w:hAnsi="Georgia"/>
        </w:rPr>
        <w:t>lesquels il avait une expérience, des contacts et une expertise linguistique</w:t>
      </w:r>
      <w:r w:rsidR="00F16AB6">
        <w:rPr>
          <w:rFonts w:ascii="Georgia" w:hAnsi="Georgia"/>
        </w:rPr>
        <w:t xml:space="preserve">. </w:t>
      </w:r>
      <w:r>
        <w:rPr>
          <w:rFonts w:ascii="Georgia" w:hAnsi="Georgia"/>
        </w:rPr>
        <w:t>Un comité directeur d</w:t>
      </w:r>
      <w:r w:rsidR="000D04EB">
        <w:rPr>
          <w:rFonts w:ascii="Georgia" w:hAnsi="Georgia"/>
        </w:rPr>
        <w:t>’</w:t>
      </w:r>
      <w:r>
        <w:rPr>
          <w:rFonts w:ascii="Georgia" w:hAnsi="Georgia"/>
        </w:rPr>
        <w:t xml:space="preserve">experts indépendants a été mandaté pour donner des conseils sur les méthodes et </w:t>
      </w:r>
      <w:r w:rsidR="000F09F7">
        <w:rPr>
          <w:rFonts w:ascii="Georgia" w:hAnsi="Georgia"/>
        </w:rPr>
        <w:t xml:space="preserve">les </w:t>
      </w:r>
      <w:r>
        <w:rPr>
          <w:rFonts w:ascii="Georgia" w:hAnsi="Georgia"/>
        </w:rPr>
        <w:t>procédures d</w:t>
      </w:r>
      <w:r w:rsidR="000D04EB">
        <w:rPr>
          <w:rFonts w:ascii="Georgia" w:hAnsi="Georgia"/>
        </w:rPr>
        <w:t>’</w:t>
      </w:r>
      <w:r>
        <w:rPr>
          <w:rFonts w:ascii="Georgia" w:hAnsi="Georgia"/>
        </w:rPr>
        <w:t>évaluation. Afin d’assurer la comparabilité des évaluations de référence, les membres du comité directeur, les quatre groupes de recherche et des représentants du Fonds mondial se sont réunis en novembre 2016 pour convenir des méthodes et des enquêtes dans leurs grandes lignes</w:t>
      </w:r>
      <w:r w:rsidR="00F16AB6">
        <w:rPr>
          <w:rFonts w:ascii="Georgia" w:hAnsi="Georgia"/>
        </w:rPr>
        <w:t xml:space="preserve">. </w:t>
      </w:r>
    </w:p>
    <w:p w14:paraId="2CF7816B" w14:textId="77777777" w:rsidR="002F2DD8" w:rsidRPr="000F6DE7" w:rsidRDefault="002F2DD8" w:rsidP="002F2DD8">
      <w:pPr>
        <w:pStyle w:val="NoSpacing"/>
        <w:rPr>
          <w:rFonts w:ascii="Georgia" w:hAnsi="Georgia" w:cstheme="minorHAnsi"/>
        </w:rPr>
      </w:pPr>
    </w:p>
    <w:p w14:paraId="2E2CBC57" w14:textId="65B500A9" w:rsidR="002F2DD8" w:rsidRPr="002F2DD8" w:rsidRDefault="002F2DD8" w:rsidP="002F2DD8">
      <w:pPr>
        <w:pStyle w:val="NoSpacing"/>
        <w:rPr>
          <w:rFonts w:ascii="Georgia" w:hAnsi="Georgia" w:cstheme="minorHAnsi"/>
        </w:rPr>
      </w:pPr>
      <w:r>
        <w:rPr>
          <w:rFonts w:ascii="Georgia" w:hAnsi="Georgia"/>
        </w:rPr>
        <w:t xml:space="preserve">À la fin de 2019, les évaluations de référence </w:t>
      </w:r>
      <w:r w:rsidRPr="00167641">
        <w:rPr>
          <w:rFonts w:ascii="Georgia" w:hAnsi="Georgia"/>
          <w:iCs/>
        </w:rPr>
        <w:t>« Lever les obstacles »</w:t>
      </w:r>
      <w:r>
        <w:rPr>
          <w:rFonts w:ascii="Georgia" w:hAnsi="Georgia"/>
        </w:rPr>
        <w:t xml:space="preserve"> étaient achevées dans les 20</w:t>
      </w:r>
      <w:r w:rsidR="00D85BC5">
        <w:rPr>
          <w:rFonts w:ascii="Georgia" w:hAnsi="Georgia"/>
        </w:rPr>
        <w:t> </w:t>
      </w:r>
      <w:r>
        <w:rPr>
          <w:rFonts w:ascii="Georgia" w:hAnsi="Georgia"/>
        </w:rPr>
        <w:t>pays (l’évaluation de référence du Kenya</w:t>
      </w:r>
      <w:r w:rsidR="00D85BC5">
        <w:rPr>
          <w:rFonts w:ascii="Georgia" w:hAnsi="Georgia"/>
        </w:rPr>
        <w:t xml:space="preserve">, </w:t>
      </w:r>
      <w:r>
        <w:rPr>
          <w:rFonts w:ascii="Georgia" w:hAnsi="Georgia"/>
        </w:rPr>
        <w:t>en voie d’achèvement</w:t>
      </w:r>
      <w:r w:rsidR="00D85BC5">
        <w:rPr>
          <w:rFonts w:ascii="Georgia" w:hAnsi="Georgia"/>
        </w:rPr>
        <w:t xml:space="preserve">, </w:t>
      </w:r>
      <w:r w:rsidR="006D1DFF">
        <w:rPr>
          <w:rFonts w:ascii="Georgia" w:hAnsi="Georgia"/>
        </w:rPr>
        <w:t>restait à publier</w:t>
      </w:r>
      <w:r>
        <w:rPr>
          <w:rFonts w:ascii="Georgia" w:hAnsi="Georgia"/>
        </w:rPr>
        <w:t>)</w:t>
      </w:r>
      <w:r w:rsidR="00F16AB6">
        <w:rPr>
          <w:rFonts w:ascii="Georgia" w:hAnsi="Georgia"/>
        </w:rPr>
        <w:t xml:space="preserve">. </w:t>
      </w:r>
      <w:r>
        <w:rPr>
          <w:rFonts w:ascii="Georgia" w:hAnsi="Georgia"/>
        </w:rPr>
        <w:t>Il a été décidé que les évaluations porteraient sur les obstacles et les programmes liés au VIH dans les 20 pays, sur les obstacles liés à la tuberculose dans 13 pays et sur les obstacles liés au paludisme dans deux pays</w:t>
      </w:r>
      <w:r w:rsidR="00F16AB6">
        <w:rPr>
          <w:rFonts w:ascii="Georgia" w:hAnsi="Georgia"/>
        </w:rPr>
        <w:t xml:space="preserve">. </w:t>
      </w:r>
      <w:r>
        <w:rPr>
          <w:rFonts w:ascii="Georgia" w:hAnsi="Georgia"/>
        </w:rPr>
        <w:t xml:space="preserve">Les maladies </w:t>
      </w:r>
      <w:r w:rsidR="001E7E4A">
        <w:rPr>
          <w:rFonts w:ascii="Georgia" w:hAnsi="Georgia"/>
        </w:rPr>
        <w:t xml:space="preserve">englobées dans </w:t>
      </w:r>
      <w:r>
        <w:rPr>
          <w:rFonts w:ascii="Georgia" w:hAnsi="Georgia"/>
        </w:rPr>
        <w:t>chaque étude sont indiquées au tableau 1 en annexe</w:t>
      </w:r>
      <w:r w:rsidR="00F16AB6">
        <w:rPr>
          <w:rFonts w:ascii="Georgia" w:hAnsi="Georgia"/>
        </w:rPr>
        <w:t xml:space="preserve">. </w:t>
      </w:r>
      <w:r>
        <w:rPr>
          <w:rFonts w:ascii="Georgia" w:hAnsi="Georgia"/>
        </w:rPr>
        <w:t>Les méthodes suivantes ont été employées dans toutes les évaluations :</w:t>
      </w:r>
    </w:p>
    <w:p w14:paraId="0542209D" w14:textId="5A9F7CAA" w:rsidR="002F2DD8" w:rsidRPr="002F2DD8" w:rsidRDefault="002F2DD8" w:rsidP="002F2DD8">
      <w:pPr>
        <w:pStyle w:val="NoSpacing"/>
        <w:numPr>
          <w:ilvl w:val="0"/>
          <w:numId w:val="45"/>
        </w:numPr>
        <w:rPr>
          <w:rFonts w:ascii="Georgia" w:hAnsi="Georgia" w:cstheme="minorHAnsi"/>
        </w:rPr>
      </w:pPr>
      <w:r>
        <w:rPr>
          <w:rFonts w:ascii="Georgia" w:hAnsi="Georgia"/>
        </w:rPr>
        <w:t xml:space="preserve">étude documentaire dans la littérature spécialisée et la littérature « grise », </w:t>
      </w:r>
      <w:r w:rsidR="00C2338E">
        <w:rPr>
          <w:rFonts w:ascii="Georgia" w:hAnsi="Georgia"/>
        </w:rPr>
        <w:t xml:space="preserve">notamment </w:t>
      </w:r>
      <w:r>
        <w:rPr>
          <w:rFonts w:ascii="Georgia" w:hAnsi="Georgia"/>
        </w:rPr>
        <w:t>les rapports d’ONG et d’autorités publiques, sur les obstacles liés aux droits humains qui entravent l’accès aux services de santé et les programmes existants destinés à lever ces obstacles</w:t>
      </w:r>
      <w:r w:rsidR="00F16AB6">
        <w:rPr>
          <w:rFonts w:ascii="Georgia" w:hAnsi="Georgia"/>
        </w:rPr>
        <w:t xml:space="preserve">. </w:t>
      </w:r>
      <w:r w:rsidR="00A10DF0">
        <w:rPr>
          <w:rFonts w:ascii="Georgia" w:hAnsi="Georgia"/>
        </w:rPr>
        <w:t xml:space="preserve">Une </w:t>
      </w:r>
      <w:r w:rsidR="006246C2">
        <w:rPr>
          <w:rFonts w:ascii="Georgia" w:hAnsi="Georgia"/>
        </w:rPr>
        <w:t xml:space="preserve">part </w:t>
      </w:r>
      <w:r w:rsidR="006E07B7">
        <w:rPr>
          <w:rFonts w:ascii="Georgia" w:hAnsi="Georgia"/>
        </w:rPr>
        <w:t>de l’</w:t>
      </w:r>
      <w:r>
        <w:rPr>
          <w:rFonts w:ascii="Georgia" w:hAnsi="Georgia"/>
        </w:rPr>
        <w:t xml:space="preserve">étude documentaire </w:t>
      </w:r>
      <w:r w:rsidR="001E5677">
        <w:rPr>
          <w:rFonts w:ascii="Georgia" w:hAnsi="Georgia"/>
        </w:rPr>
        <w:t xml:space="preserve">a </w:t>
      </w:r>
      <w:r w:rsidR="00A10DF0">
        <w:rPr>
          <w:rFonts w:ascii="Georgia" w:hAnsi="Georgia"/>
        </w:rPr>
        <w:t>consisté à interviewer au téléphone des intervenants clés du pays</w:t>
      </w:r>
      <w:r>
        <w:rPr>
          <w:rFonts w:ascii="Georgia" w:hAnsi="Georgia"/>
        </w:rPr>
        <w:t> ;</w:t>
      </w:r>
    </w:p>
    <w:p w14:paraId="54E9D3B1" w14:textId="04DD111A" w:rsidR="002F2DD8" w:rsidRPr="002F2DD8" w:rsidRDefault="002F2DD8" w:rsidP="002F2DD8">
      <w:pPr>
        <w:pStyle w:val="NoSpacing"/>
        <w:numPr>
          <w:ilvl w:val="0"/>
          <w:numId w:val="45"/>
        </w:numPr>
        <w:rPr>
          <w:rFonts w:ascii="Georgia" w:hAnsi="Georgia" w:cstheme="minorHAnsi"/>
        </w:rPr>
      </w:pPr>
      <w:r>
        <w:rPr>
          <w:rFonts w:ascii="Georgia" w:hAnsi="Georgia"/>
        </w:rPr>
        <w:lastRenderedPageBreak/>
        <w:t>organisation de visites dans le pays, notamment l</w:t>
      </w:r>
      <w:r w:rsidR="000D04EB">
        <w:rPr>
          <w:rFonts w:ascii="Georgia" w:hAnsi="Georgia"/>
        </w:rPr>
        <w:t>’</w:t>
      </w:r>
      <w:r>
        <w:rPr>
          <w:rFonts w:ascii="Georgia" w:hAnsi="Georgia"/>
        </w:rPr>
        <w:t>obtention, au besoin, d</w:t>
      </w:r>
      <w:r w:rsidR="000D04EB">
        <w:rPr>
          <w:rFonts w:ascii="Georgia" w:hAnsi="Georgia"/>
        </w:rPr>
        <w:t>’</w:t>
      </w:r>
      <w:r>
        <w:rPr>
          <w:rFonts w:ascii="Georgia" w:hAnsi="Georgia"/>
        </w:rPr>
        <w:t>une autorisation d’un comité d’éthique pour l</w:t>
      </w:r>
      <w:r w:rsidR="000D04EB">
        <w:rPr>
          <w:rFonts w:ascii="Georgia" w:hAnsi="Georgia"/>
        </w:rPr>
        <w:t>’</w:t>
      </w:r>
      <w:r>
        <w:rPr>
          <w:rFonts w:ascii="Georgia" w:hAnsi="Georgia"/>
        </w:rPr>
        <w:t>évaluation, la sollicitation et la mobilisation de collaborateurs locaux et l</w:t>
      </w:r>
      <w:r w:rsidR="000D04EB">
        <w:rPr>
          <w:rFonts w:ascii="Georgia" w:hAnsi="Georgia"/>
        </w:rPr>
        <w:t>’</w:t>
      </w:r>
      <w:r>
        <w:rPr>
          <w:rFonts w:ascii="Georgia" w:hAnsi="Georgia"/>
        </w:rPr>
        <w:t>adaptation des outils de collecte de données au contexte ;</w:t>
      </w:r>
    </w:p>
    <w:p w14:paraId="296B1108" w14:textId="26BDC254" w:rsidR="002F2DD8" w:rsidRPr="002F2DD8" w:rsidRDefault="002F2DD8" w:rsidP="002F2DD8">
      <w:pPr>
        <w:pStyle w:val="NoSpacing"/>
        <w:numPr>
          <w:ilvl w:val="0"/>
          <w:numId w:val="45"/>
        </w:numPr>
        <w:rPr>
          <w:rFonts w:ascii="Georgia" w:hAnsi="Georgia" w:cstheme="minorHAnsi"/>
        </w:rPr>
      </w:pPr>
      <w:r>
        <w:rPr>
          <w:rFonts w:ascii="Georgia" w:hAnsi="Georgia"/>
        </w:rPr>
        <w:t>organisation d’une réunion de lancement dans le pays pour la présentation du plan d</w:t>
      </w:r>
      <w:r w:rsidR="000D04EB">
        <w:rPr>
          <w:rFonts w:ascii="Georgia" w:hAnsi="Georgia"/>
        </w:rPr>
        <w:t>’</w:t>
      </w:r>
      <w:r>
        <w:rPr>
          <w:rFonts w:ascii="Georgia" w:hAnsi="Georgia"/>
        </w:rPr>
        <w:t>évaluation aux représentants des principaux intervenants</w:t>
      </w:r>
      <w:r w:rsidR="007002E1">
        <w:rPr>
          <w:rFonts w:ascii="Georgia" w:hAnsi="Georgia"/>
        </w:rPr>
        <w:t>, soit les</w:t>
      </w:r>
      <w:r>
        <w:rPr>
          <w:rFonts w:ascii="Georgia" w:hAnsi="Georgia"/>
        </w:rPr>
        <w:t xml:space="preserve"> instances de coordination nationale (ICN), </w:t>
      </w:r>
      <w:r w:rsidR="007002E1">
        <w:rPr>
          <w:rFonts w:ascii="Georgia" w:hAnsi="Georgia"/>
        </w:rPr>
        <w:t xml:space="preserve">les </w:t>
      </w:r>
      <w:r>
        <w:rPr>
          <w:rFonts w:ascii="Georgia" w:hAnsi="Georgia"/>
        </w:rPr>
        <w:t xml:space="preserve">gouvernements, </w:t>
      </w:r>
      <w:r w:rsidR="007002E1">
        <w:rPr>
          <w:rFonts w:ascii="Georgia" w:hAnsi="Georgia"/>
        </w:rPr>
        <w:t xml:space="preserve">les </w:t>
      </w:r>
      <w:r>
        <w:rPr>
          <w:rFonts w:ascii="Georgia" w:hAnsi="Georgia"/>
        </w:rPr>
        <w:t xml:space="preserve">ONG/organisations communautaires, </w:t>
      </w:r>
      <w:r w:rsidR="007002E1">
        <w:rPr>
          <w:rFonts w:ascii="Georgia" w:hAnsi="Georgia"/>
        </w:rPr>
        <w:t xml:space="preserve">les </w:t>
      </w:r>
      <w:r>
        <w:rPr>
          <w:rFonts w:ascii="Georgia" w:hAnsi="Georgia"/>
        </w:rPr>
        <w:t xml:space="preserve">partenaires techniques, </w:t>
      </w:r>
      <w:r w:rsidR="007002E1">
        <w:rPr>
          <w:rFonts w:ascii="Georgia" w:hAnsi="Georgia"/>
        </w:rPr>
        <w:t xml:space="preserve">les </w:t>
      </w:r>
      <w:r>
        <w:rPr>
          <w:rFonts w:ascii="Georgia" w:hAnsi="Georgia"/>
        </w:rPr>
        <w:t xml:space="preserve">experts universitaires, </w:t>
      </w:r>
      <w:r w:rsidR="007002E1">
        <w:rPr>
          <w:rFonts w:ascii="Georgia" w:hAnsi="Georgia"/>
        </w:rPr>
        <w:t xml:space="preserve">les </w:t>
      </w:r>
      <w:r>
        <w:rPr>
          <w:rFonts w:ascii="Georgia" w:hAnsi="Georgia"/>
        </w:rPr>
        <w:t>membres locaux de l’équipe d</w:t>
      </w:r>
      <w:r w:rsidR="000D04EB">
        <w:rPr>
          <w:rFonts w:ascii="Georgia" w:hAnsi="Georgia"/>
        </w:rPr>
        <w:t>’</w:t>
      </w:r>
      <w:r>
        <w:rPr>
          <w:rFonts w:ascii="Georgia" w:hAnsi="Georgia"/>
        </w:rPr>
        <w:t xml:space="preserve">évaluation et </w:t>
      </w:r>
      <w:r w:rsidR="007002E1">
        <w:rPr>
          <w:rFonts w:ascii="Georgia" w:hAnsi="Georgia"/>
        </w:rPr>
        <w:t xml:space="preserve">les </w:t>
      </w:r>
      <w:r>
        <w:rPr>
          <w:rFonts w:ascii="Georgia" w:hAnsi="Georgia"/>
        </w:rPr>
        <w:t xml:space="preserve">populations clés et vulnérables ; </w:t>
      </w:r>
    </w:p>
    <w:p w14:paraId="0B7930AF" w14:textId="7131D3E4" w:rsidR="002F2DD8" w:rsidRPr="002F2DD8" w:rsidRDefault="002F2DD8" w:rsidP="002F2DD8">
      <w:pPr>
        <w:pStyle w:val="NoSpacing"/>
        <w:numPr>
          <w:ilvl w:val="0"/>
          <w:numId w:val="45"/>
        </w:numPr>
        <w:rPr>
          <w:rFonts w:ascii="Georgia" w:hAnsi="Georgia" w:cstheme="minorHAnsi"/>
        </w:rPr>
      </w:pPr>
      <w:r>
        <w:rPr>
          <w:rFonts w:ascii="Georgia" w:hAnsi="Georgia"/>
        </w:rPr>
        <w:t>collecte de données dans le pays par l</w:t>
      </w:r>
      <w:r w:rsidR="000D04EB">
        <w:rPr>
          <w:rFonts w:ascii="Georgia" w:hAnsi="Georgia"/>
        </w:rPr>
        <w:t>’</w:t>
      </w:r>
      <w:r>
        <w:rPr>
          <w:rFonts w:ascii="Georgia" w:hAnsi="Georgia"/>
        </w:rPr>
        <w:t xml:space="preserve">équipe de recherche. Dans la plupart des cas, il s’est agi d’un séjour d’environ deux semaines dans le pays </w:t>
      </w:r>
      <w:r w:rsidR="00B3515A">
        <w:rPr>
          <w:rFonts w:ascii="Georgia" w:hAnsi="Georgia"/>
        </w:rPr>
        <w:t xml:space="preserve">consacré à </w:t>
      </w:r>
      <w:r>
        <w:rPr>
          <w:rFonts w:ascii="Georgia" w:hAnsi="Georgia"/>
        </w:rPr>
        <w:t>interviewer des informateurs clés et à diriger des groupes de discussion, notamment avec des représentants des populations clés et vulnérables, des gestionnaires de programme, des décideurs, des partenaires techniques et des représentants des donateurs. Les travaux de recherche dans les pays comprenaient une réunion de compte rendu avec les principaux intervenants pour une présentation générale des activités de collecte de données.</w:t>
      </w:r>
    </w:p>
    <w:p w14:paraId="434D55B5" w14:textId="77777777" w:rsidR="002F2DD8" w:rsidRPr="000F6DE7" w:rsidRDefault="002F2DD8" w:rsidP="002F2DD8">
      <w:pPr>
        <w:spacing w:after="0"/>
        <w:rPr>
          <w:rFonts w:cstheme="minorHAnsi"/>
        </w:rPr>
      </w:pPr>
    </w:p>
    <w:p w14:paraId="21E280FC" w14:textId="77777777" w:rsidR="0033724B" w:rsidRPr="000F6DE7" w:rsidRDefault="0033724B" w:rsidP="002F2DD8">
      <w:pPr>
        <w:spacing w:after="0"/>
        <w:rPr>
          <w:rFonts w:cstheme="minorHAnsi"/>
          <w:sz w:val="24"/>
          <w:szCs w:val="24"/>
        </w:rPr>
      </w:pPr>
    </w:p>
    <w:p w14:paraId="097B0F27" w14:textId="10C2C975" w:rsidR="002F2DD8" w:rsidRPr="0033724B" w:rsidRDefault="002F2DD8" w:rsidP="00FB7ACD">
      <w:pPr>
        <w:outlineLvl w:val="0"/>
        <w:rPr>
          <w:b/>
          <w:sz w:val="24"/>
          <w:szCs w:val="24"/>
        </w:rPr>
      </w:pPr>
      <w:bookmarkStart w:id="5" w:name="_Toc63885356"/>
      <w:r>
        <w:rPr>
          <w:b/>
          <w:sz w:val="24"/>
        </w:rPr>
        <w:t>Analyse des données et préparation des rapports d</w:t>
      </w:r>
      <w:r w:rsidR="000D04EB">
        <w:rPr>
          <w:b/>
          <w:sz w:val="24"/>
        </w:rPr>
        <w:t>’</w:t>
      </w:r>
      <w:r>
        <w:rPr>
          <w:b/>
          <w:sz w:val="24"/>
        </w:rPr>
        <w:t>évaluation</w:t>
      </w:r>
      <w:bookmarkEnd w:id="5"/>
      <w:r>
        <w:rPr>
          <w:b/>
          <w:sz w:val="24"/>
        </w:rPr>
        <w:t xml:space="preserve">  </w:t>
      </w:r>
    </w:p>
    <w:p w14:paraId="51010935" w14:textId="409FA250" w:rsidR="002F2DD8" w:rsidRPr="0033724B" w:rsidRDefault="002F2DD8" w:rsidP="0033724B">
      <w:pPr>
        <w:rPr>
          <w:sz w:val="24"/>
          <w:szCs w:val="24"/>
        </w:rPr>
      </w:pPr>
      <w:r>
        <w:rPr>
          <w:sz w:val="24"/>
        </w:rPr>
        <w:t>Les évaluations de référence</w:t>
      </w:r>
      <w:r>
        <w:t xml:space="preserve"> ont été réalisées selon un format standardisé réunissant l’étude documentaire et la collecte de données dans les pays</w:t>
      </w:r>
      <w:r w:rsidR="00F16AB6">
        <w:t xml:space="preserve">. </w:t>
      </w:r>
      <w:r>
        <w:t xml:space="preserve">Toutes les évaluations comprennent un sommaire, une introduction et une description des méthodes et, pour chaque maladie, une section </w:t>
      </w:r>
      <w:r w:rsidR="00C370A8">
        <w:t xml:space="preserve">décrivant </w:t>
      </w:r>
      <w:r>
        <w:t>la nature de l</w:t>
      </w:r>
      <w:r w:rsidR="000D04EB">
        <w:t>’</w:t>
      </w:r>
      <w:r>
        <w:t xml:space="preserve">épidémie et </w:t>
      </w:r>
      <w:r w:rsidR="00C370A8">
        <w:t xml:space="preserve">les </w:t>
      </w:r>
      <w:r>
        <w:t>principales populations touchées, une section sur la nature et la gravité des obstacles liés aux droits humains qui entravent l’accès aux services de lutte contre cette maladie, y compris les obstacles politiques et législatifs, une section sur les programmes récents ou existants visant à éliminer ces obstacles, y compris une estimation des coûts associés à ces programmes, et enfin une proposition de réponse globale mise à l’échelle, chiffrée et échelonnée sur cinq ans, pour éliminer les obstacles relevés</w:t>
      </w:r>
      <w:r w:rsidR="00F16AB6">
        <w:t xml:space="preserve">. </w:t>
      </w:r>
      <w:r>
        <w:t xml:space="preserve">À cette fin, une « réponse globale » est définie comme un ensemble de programmes qui : </w:t>
      </w:r>
    </w:p>
    <w:p w14:paraId="2FCB1F61" w14:textId="41A3F52B" w:rsidR="002F2DD8" w:rsidRPr="002F2DD8" w:rsidRDefault="002F2DD8" w:rsidP="002F2DD8">
      <w:pPr>
        <w:pStyle w:val="ListParagraph"/>
        <w:numPr>
          <w:ilvl w:val="0"/>
          <w:numId w:val="44"/>
        </w:numPr>
        <w:spacing w:after="0" w:line="276" w:lineRule="auto"/>
        <w:contextualSpacing w:val="0"/>
        <w:rPr>
          <w:rFonts w:cstheme="minorHAnsi"/>
        </w:rPr>
      </w:pPr>
      <w:r>
        <w:t>comprennent un ensemble d’activités reconnues au niveau international comme efficaces pour réduire les obstacles liés aux droits humains</w:t>
      </w:r>
      <w:r w:rsidR="000D04EB">
        <w:t xml:space="preserve"> qui entravent l</w:t>
      </w:r>
      <w:r w:rsidR="00730362">
        <w:t>’</w:t>
      </w:r>
      <w:r w:rsidR="000D04EB">
        <w:t>accès aux services de santé</w:t>
      </w:r>
      <w:r>
        <w:t xml:space="preserve"> ; </w:t>
      </w:r>
    </w:p>
    <w:p w14:paraId="1E7FA003" w14:textId="77777777" w:rsidR="002F2DD8" w:rsidRPr="002F2DD8" w:rsidRDefault="002F2DD8" w:rsidP="002F2DD8">
      <w:pPr>
        <w:pStyle w:val="ListParagraph"/>
        <w:numPr>
          <w:ilvl w:val="0"/>
          <w:numId w:val="44"/>
        </w:numPr>
        <w:spacing w:after="0" w:line="276" w:lineRule="auto"/>
        <w:contextualSpacing w:val="0"/>
        <w:rPr>
          <w:rFonts w:cstheme="minorHAnsi"/>
        </w:rPr>
      </w:pPr>
      <w:r>
        <w:t xml:space="preserve">sont accessibles à la majorité du nombre estimé de personnes constituant les populations-clés et vulnérables touchées par ces obstacles ou la desservent ; </w:t>
      </w:r>
    </w:p>
    <w:p w14:paraId="212A496A" w14:textId="77777777" w:rsidR="002F2DD8" w:rsidRPr="002F2DD8" w:rsidRDefault="002F2DD8" w:rsidP="002F2DD8">
      <w:pPr>
        <w:pStyle w:val="ListParagraph"/>
        <w:numPr>
          <w:ilvl w:val="0"/>
          <w:numId w:val="44"/>
        </w:numPr>
        <w:spacing w:after="0" w:line="276" w:lineRule="auto"/>
        <w:contextualSpacing w:val="0"/>
        <w:rPr>
          <w:rFonts w:cstheme="minorHAnsi"/>
        </w:rPr>
      </w:pPr>
      <w:proofErr w:type="gramStart"/>
      <w:r>
        <w:t>disposent</w:t>
      </w:r>
      <w:proofErr w:type="gramEnd"/>
      <w:r>
        <w:t xml:space="preserve"> de ressources adéquates pour partir de zéro ou d’activités ponctuelles/à petite échelle et atteindre un niveau de mise en œuvre susceptible de réduire substantiellement les obstacles aux services liés aux droits humains (un ensemble de mesures protectrices au sens large, qui se renforcent mutuellement et durables déployées à l’échelle qui convient).</w:t>
      </w:r>
      <w:r w:rsidRPr="002F2DD8">
        <w:rPr>
          <w:rStyle w:val="FootnoteReference"/>
          <w:rFonts w:cstheme="minorHAnsi"/>
        </w:rPr>
        <w:footnoteReference w:id="6"/>
      </w:r>
      <w:r>
        <w:t xml:space="preserve"> </w:t>
      </w:r>
    </w:p>
    <w:p w14:paraId="6E4F356E" w14:textId="77777777" w:rsidR="002F2DD8" w:rsidRPr="000F6DE7" w:rsidRDefault="002F2DD8" w:rsidP="002F2DD8">
      <w:pPr>
        <w:pStyle w:val="NoSpacing"/>
        <w:ind w:left="360"/>
        <w:rPr>
          <w:rFonts w:ascii="Georgia" w:hAnsi="Georgia" w:cstheme="minorHAnsi"/>
        </w:rPr>
      </w:pPr>
    </w:p>
    <w:p w14:paraId="6FC1B990" w14:textId="2AF052B0" w:rsidR="002F2DD8" w:rsidRPr="002F2DD8" w:rsidRDefault="002F2DD8" w:rsidP="002F2DD8">
      <w:pPr>
        <w:pStyle w:val="NoSpacing"/>
        <w:rPr>
          <w:rFonts w:ascii="Georgia" w:hAnsi="Georgia" w:cstheme="minorHAnsi"/>
        </w:rPr>
      </w:pPr>
      <w:r>
        <w:rPr>
          <w:rFonts w:ascii="Georgia" w:hAnsi="Georgia"/>
        </w:rPr>
        <w:t xml:space="preserve">Les évaluations de référence contiennent des estimations de coûts rétrospectives et prospectives réalisées selon une méthode convenue par les équipes de recherche et le comité directeur. Les estimations des coûts des programmes passés et actuels et de la réponse globale proposée sont </w:t>
      </w:r>
      <w:r>
        <w:rPr>
          <w:rFonts w:ascii="Georgia" w:hAnsi="Georgia"/>
        </w:rPr>
        <w:lastRenderedPageBreak/>
        <w:t>fondé</w:t>
      </w:r>
      <w:r w:rsidR="000D04EB">
        <w:rPr>
          <w:rFonts w:ascii="Georgia" w:hAnsi="Georgia"/>
        </w:rPr>
        <w:t>e</w:t>
      </w:r>
      <w:r>
        <w:rPr>
          <w:rFonts w:ascii="Georgia" w:hAnsi="Georgia"/>
        </w:rPr>
        <w:t>s sur les coûts réels des programmes dans chaque pays, dans la mesure où ces coûts ont pu être transmis aux chercheurs par les gestionnaires de programme et les donateurs</w:t>
      </w:r>
      <w:r w:rsidR="00F16AB6">
        <w:rPr>
          <w:rFonts w:ascii="Georgia" w:hAnsi="Georgia"/>
        </w:rPr>
        <w:t xml:space="preserve">. </w:t>
      </w:r>
    </w:p>
    <w:p w14:paraId="75F8CC36" w14:textId="77777777" w:rsidR="002F2DD8" w:rsidRPr="000F6DE7" w:rsidRDefault="002F2DD8" w:rsidP="002F2DD8">
      <w:pPr>
        <w:pStyle w:val="NoSpacing"/>
        <w:rPr>
          <w:rFonts w:ascii="Georgia" w:hAnsi="Georgia" w:cstheme="minorHAnsi"/>
        </w:rPr>
      </w:pPr>
    </w:p>
    <w:p w14:paraId="64BF1A0B" w14:textId="684B891C" w:rsidR="002F2DD8" w:rsidRPr="002F2DD8" w:rsidRDefault="002F2DD8" w:rsidP="002F2DD8">
      <w:pPr>
        <w:pStyle w:val="NoSpacing"/>
        <w:rPr>
          <w:rFonts w:ascii="Georgia" w:hAnsi="Georgia" w:cstheme="minorHAnsi"/>
        </w:rPr>
      </w:pPr>
      <w:r>
        <w:rPr>
          <w:rFonts w:ascii="Georgia" w:hAnsi="Georgia"/>
        </w:rPr>
        <w:t>Les évaluations de référence ont été réalisées dans le respect des principes des droits humains</w:t>
      </w:r>
      <w:r w:rsidR="00F16AB6">
        <w:rPr>
          <w:rFonts w:ascii="Georgia" w:hAnsi="Georgia"/>
        </w:rPr>
        <w:t xml:space="preserve">. </w:t>
      </w:r>
      <w:r>
        <w:rPr>
          <w:rFonts w:ascii="Georgia" w:hAnsi="Georgia"/>
        </w:rPr>
        <w:t>Les principales populations touchées ont participé de manière significative à la collecte de données dans les pays selon des modalités destinées à ne pas compromettre leur confidentialité ni leur sécurité</w:t>
      </w:r>
      <w:r w:rsidR="00F16AB6">
        <w:rPr>
          <w:rFonts w:ascii="Georgia" w:hAnsi="Georgia"/>
        </w:rPr>
        <w:t xml:space="preserve">. </w:t>
      </w:r>
      <w:r>
        <w:rPr>
          <w:rFonts w:ascii="Georgia" w:hAnsi="Georgia"/>
        </w:rPr>
        <w:t>Tous les répondants ont donné un consentement éclairé pour participer à l</w:t>
      </w:r>
      <w:r w:rsidR="000D04EB">
        <w:rPr>
          <w:rFonts w:ascii="Georgia" w:hAnsi="Georgia"/>
        </w:rPr>
        <w:t>’</w:t>
      </w:r>
      <w:r>
        <w:rPr>
          <w:rFonts w:ascii="Georgia" w:hAnsi="Georgia"/>
        </w:rPr>
        <w:t>évaluation.</w:t>
      </w:r>
    </w:p>
    <w:p w14:paraId="1256FD87" w14:textId="77777777" w:rsidR="002F2DD8" w:rsidRPr="000F6DE7" w:rsidRDefault="002F2DD8" w:rsidP="002F2DD8">
      <w:pPr>
        <w:pStyle w:val="NoSpacing"/>
        <w:rPr>
          <w:rFonts w:ascii="Georgia" w:hAnsi="Georgia" w:cstheme="minorHAnsi"/>
        </w:rPr>
      </w:pPr>
    </w:p>
    <w:p w14:paraId="2E48DC3E" w14:textId="77777777" w:rsidR="002F2DD8" w:rsidRPr="0033724B" w:rsidRDefault="002F2DD8" w:rsidP="00FB7ACD">
      <w:pPr>
        <w:pStyle w:val="Heading1"/>
        <w:rPr>
          <w:rFonts w:ascii="Georgia" w:eastAsiaTheme="minorHAnsi" w:hAnsi="Georgia" w:cstheme="minorBidi"/>
          <w:b/>
          <w:color w:val="auto"/>
          <w:sz w:val="24"/>
          <w:szCs w:val="24"/>
        </w:rPr>
      </w:pPr>
      <w:bookmarkStart w:id="6" w:name="_Toc63885357"/>
      <w:r>
        <w:rPr>
          <w:rFonts w:ascii="Georgia" w:hAnsi="Georgia"/>
          <w:b/>
          <w:color w:val="auto"/>
          <w:sz w:val="24"/>
        </w:rPr>
        <w:t>Résultats des évaluations de référence</w:t>
      </w:r>
      <w:bookmarkEnd w:id="6"/>
    </w:p>
    <w:p w14:paraId="3C35F2D7" w14:textId="77777777" w:rsidR="002F2DD8" w:rsidRPr="002F2DD8" w:rsidRDefault="002F2DD8" w:rsidP="002F2DD8">
      <w:pPr>
        <w:pStyle w:val="NoSpacing"/>
        <w:rPr>
          <w:rFonts w:ascii="Georgia" w:hAnsi="Georgia" w:cstheme="minorHAnsi"/>
        </w:rPr>
      </w:pPr>
    </w:p>
    <w:p w14:paraId="7CB20468" w14:textId="77777777" w:rsidR="002F2DD8" w:rsidRPr="00FB7ACD" w:rsidRDefault="002F2DD8" w:rsidP="002F2DD8">
      <w:pPr>
        <w:pStyle w:val="NoSpacing"/>
        <w:rPr>
          <w:rFonts w:ascii="Georgia" w:hAnsi="Georgia" w:cstheme="majorHAnsi"/>
          <w:b/>
          <w:color w:val="4472C4" w:themeColor="accent1"/>
        </w:rPr>
      </w:pPr>
      <w:r>
        <w:rPr>
          <w:rFonts w:ascii="Georgia" w:hAnsi="Georgia"/>
          <w:b/>
          <w:color w:val="4472C4" w:themeColor="accent1"/>
        </w:rPr>
        <w:t>Des résultats qui se recoupent d’un pays à l’autre</w:t>
      </w:r>
    </w:p>
    <w:p w14:paraId="546015F9" w14:textId="0BCE1FD4" w:rsidR="002F2DD8" w:rsidRPr="002F2DD8" w:rsidRDefault="002F2DD8" w:rsidP="002F2DD8">
      <w:pPr>
        <w:pStyle w:val="NoSpacing"/>
        <w:rPr>
          <w:rFonts w:ascii="Georgia" w:hAnsi="Georgia" w:cstheme="minorHAnsi"/>
        </w:rPr>
      </w:pPr>
      <w:r>
        <w:rPr>
          <w:rFonts w:ascii="Georgia" w:hAnsi="Georgia"/>
        </w:rPr>
        <w:t>D’autres études sur les obstacles liés aux droits humains qui entravent l’accès aux services de santé ont été réalisées dans le passé, en particulier en ce qui concerne le VIH et la tuberculose. Néanmoins, les présentes évaluations de référence réunissent pour la première fois des données essentielles sur les éléments suivants</w:t>
      </w:r>
      <w:r w:rsidR="000D04EB">
        <w:rPr>
          <w:rFonts w:ascii="Georgia" w:hAnsi="Georgia"/>
        </w:rPr>
        <w:t> </w:t>
      </w:r>
      <w:r>
        <w:rPr>
          <w:rFonts w:ascii="Georgia" w:hAnsi="Georgia"/>
        </w:rPr>
        <w:t>:</w:t>
      </w:r>
    </w:p>
    <w:p w14:paraId="0537C59B" w14:textId="77777777" w:rsidR="002F2DD8" w:rsidRPr="002F2DD8" w:rsidRDefault="002F2DD8" w:rsidP="002F2DD8">
      <w:pPr>
        <w:pStyle w:val="NoSpacing"/>
        <w:numPr>
          <w:ilvl w:val="0"/>
          <w:numId w:val="41"/>
        </w:numPr>
        <w:ind w:left="360"/>
        <w:rPr>
          <w:rFonts w:ascii="Georgia" w:hAnsi="Georgia" w:cstheme="minorHAnsi"/>
        </w:rPr>
      </w:pPr>
      <w:r>
        <w:rPr>
          <w:rFonts w:ascii="Georgia" w:hAnsi="Georgia"/>
        </w:rPr>
        <w:t>la nature, la portée et la gravité des obstacles liés aux droits humains qui entravent l’accès aux services de santé ;</w:t>
      </w:r>
    </w:p>
    <w:p w14:paraId="47A47E1C" w14:textId="77777777" w:rsidR="002F2DD8" w:rsidRPr="002F2DD8" w:rsidRDefault="002F2DD8" w:rsidP="002F2DD8">
      <w:pPr>
        <w:pStyle w:val="NoSpacing"/>
        <w:numPr>
          <w:ilvl w:val="0"/>
          <w:numId w:val="41"/>
        </w:numPr>
        <w:ind w:left="360"/>
        <w:rPr>
          <w:rFonts w:ascii="Georgia" w:hAnsi="Georgia" w:cstheme="minorHAnsi"/>
        </w:rPr>
      </w:pPr>
      <w:r>
        <w:rPr>
          <w:rFonts w:ascii="Georgia" w:hAnsi="Georgia"/>
        </w:rPr>
        <w:t>les populations les plus touchées par ces obstacles ;</w:t>
      </w:r>
    </w:p>
    <w:p w14:paraId="0C86D7DC" w14:textId="77777777" w:rsidR="002F2DD8" w:rsidRPr="002F2DD8" w:rsidRDefault="002F2DD8" w:rsidP="002F2DD8">
      <w:pPr>
        <w:pStyle w:val="NoSpacing"/>
        <w:numPr>
          <w:ilvl w:val="0"/>
          <w:numId w:val="41"/>
        </w:numPr>
        <w:ind w:left="360"/>
        <w:rPr>
          <w:rFonts w:ascii="Georgia" w:hAnsi="Georgia" w:cstheme="minorHAnsi"/>
        </w:rPr>
      </w:pPr>
      <w:r>
        <w:rPr>
          <w:rFonts w:ascii="Georgia" w:hAnsi="Georgia"/>
        </w:rPr>
        <w:t xml:space="preserve">la portée, les coûts et la qualité des programmes existants visant à lever ces obstacles ;  </w:t>
      </w:r>
    </w:p>
    <w:p w14:paraId="2C13C4AD" w14:textId="77777777" w:rsidR="002F2DD8" w:rsidRPr="002F2DD8" w:rsidRDefault="002F2DD8" w:rsidP="002F2DD8">
      <w:pPr>
        <w:pStyle w:val="NoSpacing"/>
        <w:numPr>
          <w:ilvl w:val="0"/>
          <w:numId w:val="41"/>
        </w:numPr>
        <w:ind w:left="360"/>
        <w:rPr>
          <w:rFonts w:ascii="Georgia" w:hAnsi="Georgia" w:cstheme="minorHAnsi"/>
        </w:rPr>
      </w:pPr>
      <w:r>
        <w:rPr>
          <w:rFonts w:ascii="Georgia" w:hAnsi="Georgia"/>
        </w:rPr>
        <w:t xml:space="preserve">la capacité des ICN, des ministères, de la société civile et des partenaires techniques à appuyer la mise en œuvre de programmes visant à éliminer ces obstacles ; </w:t>
      </w:r>
    </w:p>
    <w:p w14:paraId="0D6CEBB4" w14:textId="58883A18" w:rsidR="002F2DD8" w:rsidRPr="002F2DD8" w:rsidRDefault="002F2DD8" w:rsidP="002F2DD8">
      <w:pPr>
        <w:pStyle w:val="NoSpacing"/>
        <w:numPr>
          <w:ilvl w:val="0"/>
          <w:numId w:val="41"/>
        </w:numPr>
        <w:ind w:left="360"/>
        <w:rPr>
          <w:rFonts w:ascii="Georgia" w:hAnsi="Georgia" w:cstheme="minorHAnsi"/>
        </w:rPr>
      </w:pPr>
      <w:r>
        <w:rPr>
          <w:rFonts w:ascii="Georgia" w:hAnsi="Georgia"/>
        </w:rPr>
        <w:t>le contenu et les coûts estimés d</w:t>
      </w:r>
      <w:r w:rsidR="000D04EB">
        <w:rPr>
          <w:rFonts w:ascii="Georgia" w:hAnsi="Georgia"/>
        </w:rPr>
        <w:t>’</w:t>
      </w:r>
      <w:r>
        <w:rPr>
          <w:rFonts w:ascii="Georgia" w:hAnsi="Georgia"/>
        </w:rPr>
        <w:t xml:space="preserve">une possible réponse globale aux obstacles. </w:t>
      </w:r>
    </w:p>
    <w:p w14:paraId="269B1D7A" w14:textId="77777777" w:rsidR="002F2DD8" w:rsidRPr="002F2DD8" w:rsidRDefault="002F2DD8" w:rsidP="002F2DD8">
      <w:pPr>
        <w:pStyle w:val="NoSpacing"/>
        <w:rPr>
          <w:rFonts w:ascii="Georgia" w:hAnsi="Georgia" w:cstheme="majorHAnsi"/>
        </w:rPr>
      </w:pPr>
    </w:p>
    <w:p w14:paraId="27C696EE" w14:textId="3EB4FDC4" w:rsidR="002F2DD8" w:rsidRPr="002F2DD8" w:rsidRDefault="002F2DD8" w:rsidP="002F2DD8">
      <w:pPr>
        <w:pStyle w:val="NoSpacing"/>
        <w:rPr>
          <w:rFonts w:ascii="Georgia" w:hAnsi="Georgia" w:cstheme="majorHAnsi"/>
        </w:rPr>
      </w:pPr>
      <w:r>
        <w:rPr>
          <w:rFonts w:ascii="Georgia" w:hAnsi="Georgia"/>
        </w:rPr>
        <w:t xml:space="preserve">Bien que les 20 pays participant à </w:t>
      </w:r>
      <w:r w:rsidRPr="00167641">
        <w:rPr>
          <w:rFonts w:ascii="Georgia" w:hAnsi="Georgia"/>
          <w:iCs/>
        </w:rPr>
        <w:t>« Lever les obstacles »</w:t>
      </w:r>
      <w:r>
        <w:rPr>
          <w:rFonts w:ascii="Georgia" w:hAnsi="Georgia"/>
        </w:rPr>
        <w:t xml:space="preserve"> représentent toutes les régions du Fonds mondial et différents contextes sociaux et politiques, il ressort des évaluations de référence un certain nombre d</w:t>
      </w:r>
      <w:r w:rsidR="000D04EB">
        <w:rPr>
          <w:rFonts w:ascii="Georgia" w:hAnsi="Georgia"/>
        </w:rPr>
        <w:t>’</w:t>
      </w:r>
      <w:r>
        <w:rPr>
          <w:rFonts w:ascii="Georgia" w:hAnsi="Georgia"/>
        </w:rPr>
        <w:t>observations et de conclusions communes, décrites dans les prochaines sections.</w:t>
      </w:r>
    </w:p>
    <w:p w14:paraId="0898F87D" w14:textId="77777777" w:rsidR="002F2DD8" w:rsidRPr="002F2DD8" w:rsidRDefault="002F2DD8" w:rsidP="002F2DD8">
      <w:pPr>
        <w:pStyle w:val="NoSpacing"/>
        <w:rPr>
          <w:rFonts w:ascii="Georgia" w:hAnsi="Georgia" w:cstheme="majorHAnsi"/>
        </w:rPr>
      </w:pPr>
    </w:p>
    <w:p w14:paraId="6F818695" w14:textId="3BDF0000" w:rsidR="002F2DD8" w:rsidRPr="0033724B" w:rsidRDefault="002F2DD8" w:rsidP="002F2DD8">
      <w:pPr>
        <w:pStyle w:val="NoSpacing"/>
        <w:rPr>
          <w:rFonts w:ascii="Georgia" w:hAnsi="Georgia" w:cstheme="majorHAnsi"/>
          <w:color w:val="4472C4" w:themeColor="accent1"/>
        </w:rPr>
      </w:pPr>
      <w:r>
        <w:rPr>
          <w:rFonts w:ascii="Georgia" w:hAnsi="Georgia"/>
          <w:b/>
          <w:color w:val="4472C4" w:themeColor="accent1"/>
        </w:rPr>
        <w:t>Les obstacles aux services de santé sont nombreux et sévères</w:t>
      </w:r>
      <w:r w:rsidR="00F16AB6">
        <w:rPr>
          <w:rFonts w:ascii="Georgia" w:hAnsi="Georgia"/>
          <w:color w:val="4472C4" w:themeColor="accent1"/>
        </w:rPr>
        <w:t xml:space="preserve">. </w:t>
      </w:r>
    </w:p>
    <w:p w14:paraId="571504A7" w14:textId="2FF71DE1" w:rsidR="002F2DD8" w:rsidRPr="002F2DD8" w:rsidRDefault="002F2DD8" w:rsidP="002F2DD8">
      <w:pPr>
        <w:pStyle w:val="NoSpacing"/>
        <w:rPr>
          <w:rFonts w:ascii="Georgia" w:hAnsi="Georgia" w:cstheme="majorHAnsi"/>
        </w:rPr>
      </w:pPr>
      <w:r>
        <w:rPr>
          <w:rFonts w:ascii="Georgia" w:hAnsi="Georgia"/>
        </w:rPr>
        <w:t>En dépit de l</w:t>
      </w:r>
      <w:r w:rsidR="000D04EB">
        <w:rPr>
          <w:rFonts w:ascii="Georgia" w:hAnsi="Georgia"/>
        </w:rPr>
        <w:t>’</w:t>
      </w:r>
      <w:r>
        <w:rPr>
          <w:rFonts w:ascii="Georgia" w:hAnsi="Georgia"/>
        </w:rPr>
        <w:t>attention considérable accordée, depuis des dizaines d’années, aux obstacles liés aux droits humains qui entravent l’accès aux services de lutte contre le VIH, toutes les évaluations de référence ont relevé des obstacles profondément enracinés, et ce, dans toutes les catégories d’obstacles liés aux droits humains définies par le Fonds mondial</w:t>
      </w:r>
      <w:r w:rsidR="00F16AB6">
        <w:rPr>
          <w:rFonts w:ascii="Georgia" w:hAnsi="Georgia"/>
        </w:rPr>
        <w:t xml:space="preserve">. </w:t>
      </w:r>
      <w:r>
        <w:rPr>
          <w:rFonts w:ascii="Georgia" w:hAnsi="Georgia"/>
        </w:rPr>
        <w:t xml:space="preserve">Le rejet social et la discrimination liés au VIH et à la tuberculose sont </w:t>
      </w:r>
      <w:proofErr w:type="gramStart"/>
      <w:r>
        <w:rPr>
          <w:rFonts w:ascii="Georgia" w:hAnsi="Georgia"/>
        </w:rPr>
        <w:t>monnaie</w:t>
      </w:r>
      <w:proofErr w:type="gramEnd"/>
      <w:r>
        <w:rPr>
          <w:rFonts w:ascii="Georgia" w:hAnsi="Georgia"/>
        </w:rPr>
        <w:t xml:space="preserve"> courante dans les services de santé, l</w:t>
      </w:r>
      <w:r w:rsidR="000D04EB">
        <w:rPr>
          <w:rFonts w:ascii="Georgia" w:hAnsi="Georgia"/>
        </w:rPr>
        <w:t>’</w:t>
      </w:r>
      <w:r>
        <w:rPr>
          <w:rFonts w:ascii="Georgia" w:hAnsi="Georgia"/>
        </w:rPr>
        <w:t>emploi, l</w:t>
      </w:r>
      <w:r w:rsidR="000D04EB">
        <w:rPr>
          <w:rFonts w:ascii="Georgia" w:hAnsi="Georgia"/>
        </w:rPr>
        <w:t>’</w:t>
      </w:r>
      <w:r>
        <w:rPr>
          <w:rFonts w:ascii="Georgia" w:hAnsi="Georgia"/>
        </w:rPr>
        <w:t>éducation et d</w:t>
      </w:r>
      <w:r w:rsidR="000D04EB">
        <w:rPr>
          <w:rFonts w:ascii="Georgia" w:hAnsi="Georgia"/>
        </w:rPr>
        <w:t>’</w:t>
      </w:r>
      <w:r>
        <w:rPr>
          <w:rFonts w:ascii="Georgia" w:hAnsi="Georgia"/>
        </w:rPr>
        <w:t>autres domaines, même là où il existe des lois protégeant les personnes contre la discrimination liée au VIH</w:t>
      </w:r>
      <w:r w:rsidR="00F16AB6">
        <w:rPr>
          <w:rFonts w:ascii="Georgia" w:hAnsi="Georgia"/>
        </w:rPr>
        <w:t xml:space="preserve">. </w:t>
      </w:r>
      <w:r>
        <w:rPr>
          <w:rFonts w:ascii="Georgia" w:hAnsi="Georgia"/>
        </w:rPr>
        <w:t>Des jugements d’ordre moral et des lois sévères contribuent à la discrimination et à l</w:t>
      </w:r>
      <w:r w:rsidR="000D04EB">
        <w:rPr>
          <w:rFonts w:ascii="Georgia" w:hAnsi="Georgia"/>
        </w:rPr>
        <w:t>’</w:t>
      </w:r>
      <w:r>
        <w:rPr>
          <w:rFonts w:ascii="Georgia" w:hAnsi="Georgia"/>
        </w:rPr>
        <w:t>exclusion des consommateurs de drogues, des travailleurs et travailleuses du sexe, des LGBT, des prisonniers et des anciens prisonniers</w:t>
      </w:r>
      <w:r w:rsidR="00F16AB6">
        <w:rPr>
          <w:rFonts w:ascii="Georgia" w:hAnsi="Georgia"/>
        </w:rPr>
        <w:t xml:space="preserve">. </w:t>
      </w:r>
      <w:r>
        <w:rPr>
          <w:rFonts w:ascii="Georgia" w:hAnsi="Georgia"/>
        </w:rPr>
        <w:t xml:space="preserve">On rapporte des pratiques policières sévères envers les populations clés dans </w:t>
      </w:r>
      <w:r w:rsidR="003D258D">
        <w:rPr>
          <w:rFonts w:ascii="Georgia" w:hAnsi="Georgia"/>
        </w:rPr>
        <w:t xml:space="preserve">la </w:t>
      </w:r>
      <w:r>
        <w:rPr>
          <w:rFonts w:ascii="Georgia" w:hAnsi="Georgia"/>
        </w:rPr>
        <w:t xml:space="preserve">presque </w:t>
      </w:r>
      <w:r w:rsidR="003D258D">
        <w:rPr>
          <w:rFonts w:ascii="Georgia" w:hAnsi="Georgia"/>
        </w:rPr>
        <w:t xml:space="preserve">totalité </w:t>
      </w:r>
      <w:r>
        <w:rPr>
          <w:rFonts w:ascii="Georgia" w:hAnsi="Georgia"/>
        </w:rPr>
        <w:t>des 20 pays, qu</w:t>
      </w:r>
      <w:r w:rsidR="000D04EB">
        <w:rPr>
          <w:rFonts w:ascii="Georgia" w:hAnsi="Georgia"/>
        </w:rPr>
        <w:t>’</w:t>
      </w:r>
      <w:r>
        <w:rPr>
          <w:rFonts w:ascii="Georgia" w:hAnsi="Georgia"/>
        </w:rPr>
        <w:t>il s</w:t>
      </w:r>
      <w:r w:rsidR="000D04EB">
        <w:rPr>
          <w:rFonts w:ascii="Georgia" w:hAnsi="Georgia"/>
        </w:rPr>
        <w:t>’</w:t>
      </w:r>
      <w:r>
        <w:rPr>
          <w:rFonts w:ascii="Georgia" w:hAnsi="Georgia"/>
        </w:rPr>
        <w:t>agisse d</w:t>
      </w:r>
      <w:r w:rsidR="000D04EB">
        <w:rPr>
          <w:rFonts w:ascii="Georgia" w:hAnsi="Georgia"/>
        </w:rPr>
        <w:t>’</w:t>
      </w:r>
      <w:r>
        <w:rPr>
          <w:rFonts w:ascii="Georgia" w:hAnsi="Georgia"/>
        </w:rPr>
        <w:t xml:space="preserve">abus </w:t>
      </w:r>
      <w:r w:rsidR="00454C97">
        <w:rPr>
          <w:rFonts w:ascii="Georgia" w:hAnsi="Georgia"/>
        </w:rPr>
        <w:t xml:space="preserve">en garde à vue </w:t>
      </w:r>
      <w:r>
        <w:rPr>
          <w:rFonts w:ascii="Georgia" w:hAnsi="Georgia"/>
        </w:rPr>
        <w:t xml:space="preserve">contre des hommes ayant des rapports sexuels avec des hommes (par exemple en Tunisie, au Cameroun et au Sénégal), ou </w:t>
      </w:r>
      <w:r w:rsidR="00454C97">
        <w:rPr>
          <w:rFonts w:ascii="Georgia" w:hAnsi="Georgia"/>
        </w:rPr>
        <w:t xml:space="preserve">de </w:t>
      </w:r>
      <w:r>
        <w:rPr>
          <w:rFonts w:ascii="Georgia" w:hAnsi="Georgia"/>
        </w:rPr>
        <w:t>l</w:t>
      </w:r>
      <w:r w:rsidR="000D04EB">
        <w:rPr>
          <w:rFonts w:ascii="Georgia" w:hAnsi="Georgia"/>
        </w:rPr>
        <w:t>’</w:t>
      </w:r>
      <w:r>
        <w:rPr>
          <w:rFonts w:ascii="Georgia" w:hAnsi="Georgia"/>
        </w:rPr>
        <w:t xml:space="preserve">appropriation et </w:t>
      </w:r>
      <w:r w:rsidR="00454C97">
        <w:rPr>
          <w:rFonts w:ascii="Georgia" w:hAnsi="Georgia"/>
        </w:rPr>
        <w:t xml:space="preserve">de </w:t>
      </w:r>
      <w:r>
        <w:rPr>
          <w:rFonts w:ascii="Georgia" w:hAnsi="Georgia"/>
        </w:rPr>
        <w:t>l</w:t>
      </w:r>
      <w:r w:rsidR="000D04EB">
        <w:rPr>
          <w:rFonts w:ascii="Georgia" w:hAnsi="Georgia"/>
        </w:rPr>
        <w:t>’</w:t>
      </w:r>
      <w:r>
        <w:rPr>
          <w:rFonts w:ascii="Georgia" w:hAnsi="Georgia"/>
        </w:rPr>
        <w:t>utilisation de préservatifs comme preuve contre les travailleurs et travailleuses du sexe (par exemple en Jamaïque)</w:t>
      </w:r>
      <w:r w:rsidR="00F16AB6">
        <w:rPr>
          <w:rFonts w:ascii="Georgia" w:hAnsi="Georgia"/>
        </w:rPr>
        <w:t xml:space="preserve">. </w:t>
      </w:r>
      <w:r>
        <w:rPr>
          <w:rFonts w:ascii="Georgia" w:hAnsi="Georgia"/>
        </w:rPr>
        <w:t>Les membres des populations clés craignent de recourir aux services de santé et ont peu de moyens d</w:t>
      </w:r>
      <w:r w:rsidR="000D04EB">
        <w:rPr>
          <w:rFonts w:ascii="Georgia" w:hAnsi="Georgia"/>
        </w:rPr>
        <w:t>’</w:t>
      </w:r>
      <w:r>
        <w:rPr>
          <w:rFonts w:ascii="Georgia" w:hAnsi="Georgia"/>
        </w:rPr>
        <w:t>acc</w:t>
      </w:r>
      <w:r w:rsidR="00600025">
        <w:rPr>
          <w:rFonts w:ascii="Georgia" w:hAnsi="Georgia"/>
        </w:rPr>
        <w:t>éder</w:t>
      </w:r>
      <w:r>
        <w:rPr>
          <w:rFonts w:ascii="Georgia" w:hAnsi="Georgia"/>
        </w:rPr>
        <w:t xml:space="preserve"> à la justice dans de nombreux pays</w:t>
      </w:r>
      <w:r w:rsidR="00F16AB6">
        <w:rPr>
          <w:rFonts w:ascii="Georgia" w:hAnsi="Georgia"/>
        </w:rPr>
        <w:t xml:space="preserve">. </w:t>
      </w:r>
      <w:r>
        <w:rPr>
          <w:rFonts w:ascii="Georgia" w:hAnsi="Georgia"/>
        </w:rPr>
        <w:t>L</w:t>
      </w:r>
      <w:r w:rsidR="000D04EB">
        <w:rPr>
          <w:rFonts w:ascii="Georgia" w:hAnsi="Georgia"/>
        </w:rPr>
        <w:t>’</w:t>
      </w:r>
      <w:r>
        <w:rPr>
          <w:rFonts w:ascii="Georgia" w:hAnsi="Georgia"/>
        </w:rPr>
        <w:t>inégalité entre les genres est une constante ; environ la moitié des évaluations de référence soulignent que la subordination des femmes et des filles augmente leur vulnérabilité à l</w:t>
      </w:r>
      <w:r w:rsidR="000D04EB">
        <w:rPr>
          <w:rFonts w:ascii="Georgia" w:hAnsi="Georgia"/>
        </w:rPr>
        <w:t>’</w:t>
      </w:r>
      <w:r>
        <w:rPr>
          <w:rFonts w:ascii="Georgia" w:hAnsi="Georgia"/>
        </w:rPr>
        <w:t>infection, et que des normes de masculinité intransigeantes encouragent les comportements sexuels à risque chez les hommes et les garçons et les dissuadent de recourir aux services de santé</w:t>
      </w:r>
      <w:r w:rsidR="00F16AB6">
        <w:rPr>
          <w:rFonts w:ascii="Georgia" w:hAnsi="Georgia"/>
        </w:rPr>
        <w:t xml:space="preserve">. </w:t>
      </w:r>
      <w:r>
        <w:rPr>
          <w:rFonts w:ascii="Georgia" w:hAnsi="Georgia"/>
        </w:rPr>
        <w:t>On relève dans plusieurs évaluations (</w:t>
      </w:r>
      <w:r w:rsidR="007952BC">
        <w:rPr>
          <w:rFonts w:ascii="Georgia" w:hAnsi="Georgia"/>
        </w:rPr>
        <w:t>par exemple au</w:t>
      </w:r>
      <w:r>
        <w:rPr>
          <w:rFonts w:ascii="Georgia" w:hAnsi="Georgia"/>
        </w:rPr>
        <w:t xml:space="preserve"> Cameroun) que le plan stratégique national de lutte contre le VIH ou la tuberculose </w:t>
      </w:r>
      <w:r>
        <w:rPr>
          <w:rFonts w:ascii="Georgia" w:hAnsi="Georgia"/>
        </w:rPr>
        <w:lastRenderedPageBreak/>
        <w:t xml:space="preserve">comporte une formulation et des engagements en faveur des droits </w:t>
      </w:r>
      <w:r w:rsidR="007952BC">
        <w:rPr>
          <w:rFonts w:ascii="Georgia" w:hAnsi="Georgia"/>
        </w:rPr>
        <w:t>humains</w:t>
      </w:r>
      <w:r>
        <w:rPr>
          <w:rFonts w:ascii="Georgia" w:hAnsi="Georgia"/>
        </w:rPr>
        <w:t xml:space="preserve">, mais </w:t>
      </w:r>
      <w:r w:rsidR="007952BC">
        <w:rPr>
          <w:rFonts w:ascii="Georgia" w:hAnsi="Georgia"/>
        </w:rPr>
        <w:t>que</w:t>
      </w:r>
      <w:r w:rsidR="003E4C6F">
        <w:rPr>
          <w:rFonts w:ascii="Georgia" w:hAnsi="Georgia"/>
        </w:rPr>
        <w:t xml:space="preserve"> </w:t>
      </w:r>
      <w:r>
        <w:rPr>
          <w:rFonts w:ascii="Georgia" w:hAnsi="Georgia"/>
        </w:rPr>
        <w:t xml:space="preserve">ceux-ci ne sont pas appuyés </w:t>
      </w:r>
      <w:r w:rsidR="003E4C6F">
        <w:rPr>
          <w:rFonts w:ascii="Georgia" w:hAnsi="Georgia"/>
        </w:rPr>
        <w:t xml:space="preserve">par </w:t>
      </w:r>
      <w:r>
        <w:rPr>
          <w:rFonts w:ascii="Georgia" w:hAnsi="Georgia"/>
        </w:rPr>
        <w:t>un budget conséquent ni un programme de mise en œuvre</w:t>
      </w:r>
      <w:r w:rsidR="00F16AB6">
        <w:rPr>
          <w:rFonts w:ascii="Georgia" w:hAnsi="Georgia"/>
        </w:rPr>
        <w:t xml:space="preserve">. </w:t>
      </w:r>
      <w:r>
        <w:rPr>
          <w:rFonts w:ascii="Georgia" w:hAnsi="Georgia"/>
        </w:rPr>
        <w:t>Au Cameroun comme dans de nombreux autres pays, on a observé que les travailleurs de la santé ne font pas le lien entre l’atteinte des objectifs 90-90-90 de l</w:t>
      </w:r>
      <w:r w:rsidR="000D04EB">
        <w:rPr>
          <w:rFonts w:ascii="Georgia" w:hAnsi="Georgia"/>
        </w:rPr>
        <w:t>’</w:t>
      </w:r>
      <w:r>
        <w:rPr>
          <w:rFonts w:ascii="Georgia" w:hAnsi="Georgia"/>
        </w:rPr>
        <w:t>ONUSIDA pour le VIH et la levée des obstacles liés aux droits humains.</w:t>
      </w:r>
    </w:p>
    <w:p w14:paraId="5C6064B1" w14:textId="77777777" w:rsidR="002F2DD8" w:rsidRPr="002F2DD8" w:rsidRDefault="002F2DD8" w:rsidP="002F2DD8">
      <w:pPr>
        <w:pStyle w:val="NoSpacing"/>
        <w:rPr>
          <w:rFonts w:ascii="Georgia" w:hAnsi="Georgia" w:cstheme="majorHAnsi"/>
          <w:u w:val="single"/>
        </w:rPr>
      </w:pPr>
    </w:p>
    <w:p w14:paraId="7903B4F6" w14:textId="1CED9FCC" w:rsidR="002F2DD8" w:rsidRPr="0033724B" w:rsidRDefault="002F2DD8" w:rsidP="002F2DD8">
      <w:pPr>
        <w:pStyle w:val="NoSpacing"/>
        <w:rPr>
          <w:rFonts w:ascii="Georgia" w:hAnsi="Georgia" w:cstheme="majorHAnsi"/>
          <w:b/>
          <w:color w:val="4472C4" w:themeColor="accent1"/>
        </w:rPr>
      </w:pPr>
      <w:r>
        <w:rPr>
          <w:rFonts w:ascii="Georgia" w:hAnsi="Georgia"/>
          <w:b/>
          <w:color w:val="4472C4" w:themeColor="accent1"/>
        </w:rPr>
        <w:t>Les obstacles à l’accès aux services de santé sont souvent conjugués</w:t>
      </w:r>
      <w:r w:rsidR="00F16AB6">
        <w:rPr>
          <w:rFonts w:ascii="Georgia" w:hAnsi="Georgia"/>
          <w:b/>
          <w:color w:val="4472C4" w:themeColor="accent1"/>
        </w:rPr>
        <w:t xml:space="preserve">. </w:t>
      </w:r>
    </w:p>
    <w:p w14:paraId="1E423954" w14:textId="0830A43E" w:rsidR="002F2DD8" w:rsidRPr="002F2DD8" w:rsidRDefault="002F2DD8" w:rsidP="002F2DD8">
      <w:pPr>
        <w:pStyle w:val="NoSpacing"/>
        <w:rPr>
          <w:rFonts w:ascii="Georgia" w:hAnsi="Georgia"/>
        </w:rPr>
      </w:pPr>
      <w:r>
        <w:rPr>
          <w:rFonts w:ascii="Georgia" w:hAnsi="Georgia"/>
        </w:rPr>
        <w:t>La plupart des évaluations de référence ont mis en évidence l</w:t>
      </w:r>
      <w:r w:rsidR="000D04EB">
        <w:rPr>
          <w:rFonts w:ascii="Georgia" w:hAnsi="Georgia"/>
        </w:rPr>
        <w:t>’</w:t>
      </w:r>
      <w:r>
        <w:rPr>
          <w:rFonts w:ascii="Georgia" w:hAnsi="Georgia"/>
        </w:rPr>
        <w:t>interdépendance des obstacles auxquels sont confrontées les populations qui ont le moins accès aux services de lutte contre le VIH et la tuberculose</w:t>
      </w:r>
      <w:r w:rsidR="00F16AB6">
        <w:rPr>
          <w:rFonts w:ascii="Georgia" w:hAnsi="Georgia"/>
        </w:rPr>
        <w:t xml:space="preserve">. </w:t>
      </w:r>
      <w:r>
        <w:rPr>
          <w:rFonts w:ascii="Georgia" w:hAnsi="Georgia"/>
        </w:rPr>
        <w:t xml:space="preserve">Par exemple, les femmes sont confrontées à la discrimination, à la violence et à la </w:t>
      </w:r>
      <w:proofErr w:type="spellStart"/>
      <w:r>
        <w:rPr>
          <w:rFonts w:ascii="Georgia" w:hAnsi="Georgia"/>
        </w:rPr>
        <w:t>désautonomisation</w:t>
      </w:r>
      <w:proofErr w:type="spellEnd"/>
      <w:r>
        <w:rPr>
          <w:rFonts w:ascii="Georgia" w:hAnsi="Georgia"/>
        </w:rPr>
        <w:t xml:space="preserve"> fondées sur le genre ; les femmes qui consomment de la drogue font face à ces mêmes obstacles, conjugués à ceux liés à la consommation de drogues : violence policière, jugement moral, incarcération, perte de la garde des enfants et autres entraves à l’accès aux services de santé et aux services sociaux</w:t>
      </w:r>
      <w:r w:rsidR="00F16AB6">
        <w:rPr>
          <w:rFonts w:ascii="Georgia" w:hAnsi="Georgia"/>
        </w:rPr>
        <w:t xml:space="preserve">. </w:t>
      </w:r>
      <w:r>
        <w:rPr>
          <w:rFonts w:ascii="Georgia" w:hAnsi="Georgia"/>
        </w:rPr>
        <w:t>La pauvreté exacerbe de nombreuses formes d</w:t>
      </w:r>
      <w:r w:rsidR="000D04EB">
        <w:rPr>
          <w:rFonts w:ascii="Georgia" w:hAnsi="Georgia"/>
        </w:rPr>
        <w:t>’</w:t>
      </w:r>
      <w:r>
        <w:rPr>
          <w:rFonts w:ascii="Georgia" w:hAnsi="Georgia"/>
        </w:rPr>
        <w:t>exclusion et de discrimination et entrave non seulement l</w:t>
      </w:r>
      <w:r w:rsidR="000D04EB">
        <w:rPr>
          <w:rFonts w:ascii="Georgia" w:hAnsi="Georgia"/>
        </w:rPr>
        <w:t>’</w:t>
      </w:r>
      <w:r>
        <w:rPr>
          <w:rFonts w:ascii="Georgia" w:hAnsi="Georgia"/>
        </w:rPr>
        <w:t>accès aux services de santé, mais aussi aux services juridiques et aux mécanismes de plainte et de réparation</w:t>
      </w:r>
      <w:r w:rsidR="00F16AB6">
        <w:rPr>
          <w:rFonts w:ascii="Georgia" w:hAnsi="Georgia"/>
        </w:rPr>
        <w:t xml:space="preserve">. </w:t>
      </w:r>
      <w:r>
        <w:rPr>
          <w:rFonts w:ascii="Georgia" w:hAnsi="Georgia"/>
        </w:rPr>
        <w:t>La discrimination et l</w:t>
      </w:r>
      <w:r w:rsidR="000D04EB">
        <w:rPr>
          <w:rFonts w:ascii="Georgia" w:hAnsi="Georgia"/>
        </w:rPr>
        <w:t>’</w:t>
      </w:r>
      <w:r>
        <w:rPr>
          <w:rFonts w:ascii="Georgia" w:hAnsi="Georgia"/>
        </w:rPr>
        <w:t>exclusion liées à la maladie mentale et aux handicaps physiques se conjuguent aux abus que subissent les personnes vivant avec le VIH et la tuberculose ainsi que d’autres membres des populations clés</w:t>
      </w:r>
      <w:r w:rsidR="00F16AB6">
        <w:rPr>
          <w:rFonts w:ascii="Georgia" w:hAnsi="Georgia"/>
        </w:rPr>
        <w:t xml:space="preserve">. </w:t>
      </w:r>
      <w:r>
        <w:rPr>
          <w:rFonts w:ascii="Georgia" w:hAnsi="Georgia"/>
        </w:rPr>
        <w:t>Dans un certain nombre d</w:t>
      </w:r>
      <w:r w:rsidR="000D04EB">
        <w:rPr>
          <w:rFonts w:ascii="Georgia" w:hAnsi="Georgia"/>
        </w:rPr>
        <w:t>’</w:t>
      </w:r>
      <w:r>
        <w:rPr>
          <w:rFonts w:ascii="Georgia" w:hAnsi="Georgia"/>
        </w:rPr>
        <w:t>évaluations de référence, le constat de la conjugaison des obstacles liés aux droits humains a donné lieu à des recommandations sur l’établissement ou le renforcement d’un suivi communautaire visant un vaste spectre d</w:t>
      </w:r>
      <w:r w:rsidR="000D04EB">
        <w:rPr>
          <w:rFonts w:ascii="Georgia" w:hAnsi="Georgia"/>
        </w:rPr>
        <w:t>’</w:t>
      </w:r>
      <w:r>
        <w:rPr>
          <w:rFonts w:ascii="Georgia" w:hAnsi="Georgia"/>
        </w:rPr>
        <w:t>obstacles auxquels sont confrontées les populations clés.</w:t>
      </w:r>
    </w:p>
    <w:p w14:paraId="6D9E1E02" w14:textId="77777777" w:rsidR="002F2DD8" w:rsidRPr="002F2DD8" w:rsidRDefault="002F2DD8" w:rsidP="002F2DD8">
      <w:pPr>
        <w:pStyle w:val="NoSpacing"/>
        <w:rPr>
          <w:rFonts w:ascii="Georgia" w:hAnsi="Georgia" w:cstheme="majorHAnsi"/>
        </w:rPr>
      </w:pPr>
    </w:p>
    <w:p w14:paraId="65F23267" w14:textId="474C7900" w:rsidR="0033724B" w:rsidRDefault="002F2DD8" w:rsidP="002F2DD8">
      <w:pPr>
        <w:pStyle w:val="NoSpacing"/>
        <w:rPr>
          <w:rFonts w:ascii="Georgia" w:hAnsi="Georgia" w:cstheme="majorHAnsi"/>
        </w:rPr>
      </w:pPr>
      <w:r>
        <w:rPr>
          <w:rFonts w:ascii="Georgia" w:hAnsi="Georgia"/>
          <w:b/>
          <w:color w:val="4472C4" w:themeColor="accent1"/>
        </w:rPr>
        <w:t>Il existe des programmes visant à lever les obstacles liés aux droits humains, mais leur échelle, leur soutien, leur coordination et leur évaluation sont insuffisants</w:t>
      </w:r>
      <w:r>
        <w:rPr>
          <w:rFonts w:ascii="Georgia" w:hAnsi="Georgia"/>
        </w:rPr>
        <w:t xml:space="preserve">. </w:t>
      </w:r>
    </w:p>
    <w:p w14:paraId="1784870A" w14:textId="40DD83E2" w:rsidR="002F2DD8" w:rsidRPr="002F2DD8" w:rsidRDefault="002F2DD8" w:rsidP="002F2DD8">
      <w:pPr>
        <w:pStyle w:val="NoSpacing"/>
        <w:rPr>
          <w:rFonts w:ascii="Georgia" w:hAnsi="Georgia" w:cstheme="majorHAnsi"/>
        </w:rPr>
      </w:pPr>
      <w:r>
        <w:rPr>
          <w:rFonts w:ascii="Georgia" w:hAnsi="Georgia"/>
        </w:rPr>
        <w:t>Presque toutes les évaluations de référence révèlent que, au moment de l’étude, il existait des programmes dans chacun des sept domaines programmatiques considérés comme pertinents pour l’élimination des obstacles liés aux droits humains qui entravent l’accès aux services de lutte contre le VIH. Il est frappant de constater que</w:t>
      </w:r>
      <w:r w:rsidR="00E76D1F">
        <w:rPr>
          <w:rFonts w:ascii="Georgia" w:hAnsi="Georgia"/>
        </w:rPr>
        <w:t>,</w:t>
      </w:r>
      <w:r>
        <w:rPr>
          <w:rFonts w:ascii="Georgia" w:hAnsi="Georgia"/>
        </w:rPr>
        <w:t xml:space="preserve"> même dans des contextes d’intervention difficile comme la République démocratique du Congo, il </w:t>
      </w:r>
      <w:r w:rsidR="00E76D1F">
        <w:rPr>
          <w:rFonts w:ascii="Georgia" w:hAnsi="Georgia"/>
        </w:rPr>
        <w:t xml:space="preserve">existe </w:t>
      </w:r>
      <w:r>
        <w:rPr>
          <w:rFonts w:ascii="Georgia" w:hAnsi="Georgia"/>
        </w:rPr>
        <w:t xml:space="preserve">des programmes dans les sept domaines. Cependant, ces programmes, au moment de l’étude, manquaient de financement et de capacité locale, étaient d’une échelle trop réduite pour avoir un impact sensible et avaient une portée insuffisante pour atteindre les populations qui en </w:t>
      </w:r>
      <w:r w:rsidR="00E25916">
        <w:rPr>
          <w:rFonts w:ascii="Georgia" w:hAnsi="Georgia"/>
        </w:rPr>
        <w:t xml:space="preserve">ont </w:t>
      </w:r>
      <w:r>
        <w:rPr>
          <w:rFonts w:ascii="Georgia" w:hAnsi="Georgia"/>
        </w:rPr>
        <w:t xml:space="preserve">besoin. </w:t>
      </w:r>
    </w:p>
    <w:p w14:paraId="523D5A81" w14:textId="77777777" w:rsidR="002F2DD8" w:rsidRPr="002F2DD8" w:rsidRDefault="002F2DD8" w:rsidP="002F2DD8">
      <w:pPr>
        <w:pStyle w:val="NoSpacing"/>
        <w:rPr>
          <w:rFonts w:ascii="Georgia" w:hAnsi="Georgia" w:cstheme="majorHAnsi"/>
        </w:rPr>
      </w:pPr>
    </w:p>
    <w:p w14:paraId="16C5F8D5" w14:textId="23823555" w:rsidR="002F2DD8" w:rsidRPr="002F2DD8" w:rsidRDefault="002F2DD8" w:rsidP="002F2DD8">
      <w:pPr>
        <w:pStyle w:val="NoSpacing"/>
        <w:rPr>
          <w:rFonts w:ascii="Georgia" w:hAnsi="Georgia" w:cstheme="majorHAnsi"/>
        </w:rPr>
      </w:pPr>
      <w:r>
        <w:rPr>
          <w:rFonts w:ascii="Georgia" w:hAnsi="Georgia"/>
        </w:rPr>
        <w:t xml:space="preserve">En outre, il s’agissait surtout de programmes </w:t>
      </w:r>
      <w:r>
        <w:rPr>
          <w:rFonts w:ascii="Georgia" w:hAnsi="Georgia"/>
          <w:i/>
        </w:rPr>
        <w:t>ad hoc</w:t>
      </w:r>
      <w:r>
        <w:rPr>
          <w:rFonts w:ascii="Georgia" w:hAnsi="Georgia"/>
        </w:rPr>
        <w:t xml:space="preserve"> en grande partie tributaires du financement disponible et des intérêts, des capacités et des objectifs des ONG et des organisations communautaires nationales et locales responsable</w:t>
      </w:r>
      <w:r w:rsidR="000D04EB">
        <w:rPr>
          <w:rFonts w:ascii="Georgia" w:hAnsi="Georgia"/>
        </w:rPr>
        <w:t>s</w:t>
      </w:r>
      <w:r>
        <w:rPr>
          <w:rFonts w:ascii="Georgia" w:hAnsi="Georgia"/>
        </w:rPr>
        <w:t xml:space="preserve"> de </w:t>
      </w:r>
      <w:r w:rsidR="006A7728">
        <w:rPr>
          <w:rFonts w:ascii="Georgia" w:hAnsi="Georgia"/>
        </w:rPr>
        <w:t xml:space="preserve">leur mise </w:t>
      </w:r>
      <w:r>
        <w:rPr>
          <w:rFonts w:ascii="Georgia" w:hAnsi="Georgia"/>
        </w:rPr>
        <w:t>en œuvre</w:t>
      </w:r>
      <w:r w:rsidR="00F16AB6">
        <w:rPr>
          <w:rFonts w:ascii="Georgia" w:hAnsi="Georgia"/>
        </w:rPr>
        <w:t xml:space="preserve">. </w:t>
      </w:r>
      <w:r>
        <w:rPr>
          <w:rFonts w:ascii="Georgia" w:hAnsi="Georgia"/>
        </w:rPr>
        <w:t xml:space="preserve">Bien que de nombreux pays réalisent un travail impressionnant, les programmes </w:t>
      </w:r>
      <w:r w:rsidR="00022828">
        <w:rPr>
          <w:rFonts w:ascii="Georgia" w:hAnsi="Georgia"/>
        </w:rPr>
        <w:t xml:space="preserve">manquent </w:t>
      </w:r>
      <w:r w:rsidR="00F4788F">
        <w:rPr>
          <w:rFonts w:ascii="Georgia" w:hAnsi="Georgia"/>
        </w:rPr>
        <w:t xml:space="preserve">souvent </w:t>
      </w:r>
      <w:r w:rsidR="00022828">
        <w:rPr>
          <w:rFonts w:ascii="Georgia" w:hAnsi="Georgia"/>
        </w:rPr>
        <w:t xml:space="preserve">de coordination et </w:t>
      </w:r>
      <w:r>
        <w:rPr>
          <w:rFonts w:ascii="Georgia" w:hAnsi="Georgia"/>
        </w:rPr>
        <w:t>d’orientation stratégique</w:t>
      </w:r>
      <w:r w:rsidR="00F16AB6">
        <w:rPr>
          <w:rFonts w:ascii="Georgia" w:hAnsi="Georgia"/>
        </w:rPr>
        <w:t xml:space="preserve">. </w:t>
      </w:r>
      <w:r>
        <w:rPr>
          <w:rFonts w:ascii="Georgia" w:hAnsi="Georgia"/>
        </w:rPr>
        <w:t xml:space="preserve">En outre, </w:t>
      </w:r>
      <w:r w:rsidR="00407619">
        <w:rPr>
          <w:rFonts w:ascii="Georgia" w:hAnsi="Georgia"/>
        </w:rPr>
        <w:t xml:space="preserve">bon </w:t>
      </w:r>
      <w:r>
        <w:rPr>
          <w:rFonts w:ascii="Georgia" w:hAnsi="Georgia"/>
        </w:rPr>
        <w:t>nombre de ces programmes sont basés en milieu urbain (</w:t>
      </w:r>
      <w:r w:rsidR="00407619">
        <w:rPr>
          <w:rFonts w:ascii="Georgia" w:hAnsi="Georgia"/>
        </w:rPr>
        <w:t xml:space="preserve">la </w:t>
      </w:r>
      <w:r>
        <w:rPr>
          <w:rFonts w:ascii="Georgia" w:hAnsi="Georgia"/>
        </w:rPr>
        <w:t xml:space="preserve">capitale), sans </w:t>
      </w:r>
      <w:r w:rsidR="00407619">
        <w:rPr>
          <w:rFonts w:ascii="Georgia" w:hAnsi="Georgia"/>
        </w:rPr>
        <w:t xml:space="preserve">antenne </w:t>
      </w:r>
      <w:r>
        <w:rPr>
          <w:rFonts w:ascii="Georgia" w:hAnsi="Georgia"/>
        </w:rPr>
        <w:t>dans d</w:t>
      </w:r>
      <w:r w:rsidR="000D04EB">
        <w:rPr>
          <w:rFonts w:ascii="Georgia" w:hAnsi="Georgia"/>
        </w:rPr>
        <w:t>’</w:t>
      </w:r>
      <w:r>
        <w:rPr>
          <w:rFonts w:ascii="Georgia" w:hAnsi="Georgia"/>
        </w:rPr>
        <w:t xml:space="preserve">autres régions du pays. Il en résulte des écarts importants dans la couverture des populations clés, ainsi que des </w:t>
      </w:r>
      <w:r w:rsidR="00045250">
        <w:rPr>
          <w:rFonts w:ascii="Georgia" w:hAnsi="Georgia"/>
        </w:rPr>
        <w:t xml:space="preserve">dédoublements </w:t>
      </w:r>
      <w:r>
        <w:rPr>
          <w:rFonts w:ascii="Georgia" w:hAnsi="Georgia"/>
        </w:rPr>
        <w:t xml:space="preserve">là où des programmes ayant les mêmes objectifs et populations cibles </w:t>
      </w:r>
      <w:r w:rsidR="00730362">
        <w:rPr>
          <w:rFonts w:ascii="Georgia" w:hAnsi="Georgia"/>
        </w:rPr>
        <w:t>s</w:t>
      </w:r>
      <w:r>
        <w:rPr>
          <w:rFonts w:ascii="Georgia" w:hAnsi="Georgia"/>
        </w:rPr>
        <w:t xml:space="preserve">ont </w:t>
      </w:r>
      <w:r w:rsidR="00045250">
        <w:rPr>
          <w:rFonts w:ascii="Georgia" w:hAnsi="Georgia"/>
        </w:rPr>
        <w:t>juxtaposés</w:t>
      </w:r>
      <w:r>
        <w:rPr>
          <w:rFonts w:ascii="Georgia" w:hAnsi="Georgia"/>
        </w:rPr>
        <w:t>. L’extrait de l</w:t>
      </w:r>
      <w:r w:rsidR="000D04EB">
        <w:rPr>
          <w:rFonts w:ascii="Georgia" w:hAnsi="Georgia"/>
        </w:rPr>
        <w:t>’</w:t>
      </w:r>
      <w:r>
        <w:rPr>
          <w:rFonts w:ascii="Georgia" w:hAnsi="Georgia"/>
        </w:rPr>
        <w:t>évaluation de référence du Mozambique ci-dessous résume bien les thèmes soulevés dans presque toutes les évaluations :</w:t>
      </w:r>
    </w:p>
    <w:p w14:paraId="43E7C16B" w14:textId="77777777" w:rsidR="002F2DD8" w:rsidRPr="002F2DD8" w:rsidRDefault="002F2DD8" w:rsidP="002F2DD8">
      <w:pPr>
        <w:pStyle w:val="NoSpacing"/>
        <w:rPr>
          <w:rFonts w:ascii="Georgia" w:hAnsi="Georgia" w:cstheme="majorHAnsi"/>
        </w:rPr>
      </w:pPr>
    </w:p>
    <w:p w14:paraId="2CF40EFF" w14:textId="0B916CB4" w:rsidR="002F2DD8" w:rsidRPr="00B55140" w:rsidRDefault="002F2DD8" w:rsidP="002F2DD8">
      <w:pPr>
        <w:pStyle w:val="NoSpacing"/>
        <w:ind w:left="720"/>
        <w:rPr>
          <w:rFonts w:ascii="Georgia" w:hAnsi="Georgia" w:cstheme="minorHAnsi"/>
          <w:i/>
          <w:iCs/>
        </w:rPr>
      </w:pPr>
      <w:r w:rsidRPr="00B55140">
        <w:rPr>
          <w:rFonts w:ascii="Georgia" w:hAnsi="Georgia"/>
          <w:i/>
          <w:iCs/>
        </w:rPr>
        <w:t>Pour la plupart,</w:t>
      </w:r>
      <w:r w:rsidRPr="00C64163">
        <w:rPr>
          <w:rFonts w:ascii="Georgia" w:hAnsi="Georgia"/>
        </w:rPr>
        <w:t xml:space="preserve"> [les programmes visant à lever les obstacles liés aux droits humains]</w:t>
      </w:r>
      <w:r w:rsidRPr="00B55140">
        <w:rPr>
          <w:rFonts w:ascii="Georgia" w:hAnsi="Georgia"/>
          <w:i/>
          <w:iCs/>
        </w:rPr>
        <w:t xml:space="preserve"> sont mal coordonnés, d</w:t>
      </w:r>
      <w:r w:rsidR="000D04EB" w:rsidRPr="00B55140">
        <w:rPr>
          <w:rFonts w:ascii="Georgia" w:hAnsi="Georgia"/>
          <w:i/>
          <w:iCs/>
        </w:rPr>
        <w:t>’</w:t>
      </w:r>
      <w:r w:rsidRPr="00B55140">
        <w:rPr>
          <w:rFonts w:ascii="Georgia" w:hAnsi="Georgia"/>
          <w:i/>
          <w:iCs/>
        </w:rPr>
        <w:t>une envergure et d</w:t>
      </w:r>
      <w:r w:rsidR="000D04EB" w:rsidRPr="00B55140">
        <w:rPr>
          <w:rFonts w:ascii="Georgia" w:hAnsi="Georgia"/>
          <w:i/>
          <w:iCs/>
        </w:rPr>
        <w:t>’</w:t>
      </w:r>
      <w:r w:rsidRPr="00B55140">
        <w:rPr>
          <w:rFonts w:ascii="Georgia" w:hAnsi="Georgia"/>
          <w:i/>
          <w:iCs/>
        </w:rPr>
        <w:t>une durée limitées, insuffisamment financés et évalués de façon irrégulière</w:t>
      </w:r>
      <w:r w:rsidR="00F16AB6" w:rsidRPr="00B55140">
        <w:rPr>
          <w:rFonts w:ascii="Georgia" w:hAnsi="Georgia"/>
          <w:i/>
          <w:iCs/>
        </w:rPr>
        <w:t xml:space="preserve">. </w:t>
      </w:r>
      <w:r w:rsidRPr="00B55140">
        <w:rPr>
          <w:rFonts w:ascii="Georgia" w:hAnsi="Georgia"/>
          <w:i/>
          <w:iCs/>
        </w:rPr>
        <w:t xml:space="preserve">Ils ne répondent pas du tout aux besoins de certaines populations clés […]. De plus, il faut renforcer les capacités en matière de droits humains des gouvernements, des ONG et du secteur communautaire, afin que ceux-ci </w:t>
      </w:r>
      <w:r w:rsidRPr="00B55140">
        <w:rPr>
          <w:rFonts w:ascii="Georgia" w:hAnsi="Georgia"/>
          <w:i/>
          <w:iCs/>
        </w:rPr>
        <w:lastRenderedPageBreak/>
        <w:t xml:space="preserve">soient capables de planifier à long terme et de mettre en œuvre des actions pluriannuelles bien coordonnées qui se traduiront par un changement permanent </w:t>
      </w:r>
      <w:r w:rsidR="00AD2E1E">
        <w:rPr>
          <w:rFonts w:ascii="Georgia" w:hAnsi="Georgia"/>
          <w:i/>
          <w:iCs/>
        </w:rPr>
        <w:t>du savoir</w:t>
      </w:r>
      <w:r w:rsidRPr="00B55140">
        <w:rPr>
          <w:rFonts w:ascii="Georgia" w:hAnsi="Georgia"/>
          <w:i/>
          <w:iCs/>
        </w:rPr>
        <w:t xml:space="preserve">, </w:t>
      </w:r>
      <w:r w:rsidR="00AD2E1E">
        <w:rPr>
          <w:rFonts w:ascii="Georgia" w:hAnsi="Georgia"/>
          <w:i/>
          <w:iCs/>
        </w:rPr>
        <w:t xml:space="preserve">des </w:t>
      </w:r>
      <w:r w:rsidRPr="00B55140">
        <w:rPr>
          <w:rFonts w:ascii="Georgia" w:hAnsi="Georgia"/>
          <w:i/>
          <w:iCs/>
        </w:rPr>
        <w:t xml:space="preserve">attitudes, </w:t>
      </w:r>
      <w:r w:rsidR="00AD2E1E">
        <w:rPr>
          <w:rFonts w:ascii="Georgia" w:hAnsi="Georgia"/>
          <w:i/>
          <w:iCs/>
        </w:rPr>
        <w:t xml:space="preserve">des </w:t>
      </w:r>
      <w:r w:rsidRPr="00B55140">
        <w:rPr>
          <w:rFonts w:ascii="Georgia" w:hAnsi="Georgia"/>
          <w:i/>
          <w:iCs/>
        </w:rPr>
        <w:t xml:space="preserve">perceptions et </w:t>
      </w:r>
      <w:r w:rsidR="00AD2E1E">
        <w:rPr>
          <w:rFonts w:ascii="Georgia" w:hAnsi="Georgia"/>
          <w:i/>
          <w:iCs/>
        </w:rPr>
        <w:t xml:space="preserve">des </w:t>
      </w:r>
      <w:r w:rsidRPr="00B55140">
        <w:rPr>
          <w:rFonts w:ascii="Georgia" w:hAnsi="Georgia"/>
          <w:i/>
          <w:iCs/>
        </w:rPr>
        <w:t xml:space="preserve">pratiques concernant les obstacles liés aux droits humains qui entravent l’accès aux services pour les populations clés et vulnérables. Un investissement important et soutenu de ressources techniques et financières est nécessaire pour garantir </w:t>
      </w:r>
      <w:r w:rsidR="00AD2E1E">
        <w:rPr>
          <w:rFonts w:ascii="Georgia" w:hAnsi="Georgia"/>
          <w:i/>
          <w:iCs/>
        </w:rPr>
        <w:t xml:space="preserve">la pleine </w:t>
      </w:r>
      <w:r w:rsidR="00AD2E1E" w:rsidRPr="00B55140">
        <w:rPr>
          <w:rFonts w:ascii="Georgia" w:hAnsi="Georgia"/>
          <w:i/>
          <w:iCs/>
        </w:rPr>
        <w:t>mise en œuvre</w:t>
      </w:r>
      <w:r w:rsidR="00AD2E1E">
        <w:rPr>
          <w:rFonts w:ascii="Georgia" w:hAnsi="Georgia"/>
          <w:i/>
          <w:iCs/>
        </w:rPr>
        <w:t xml:space="preserve"> de </w:t>
      </w:r>
      <w:r w:rsidRPr="00B55140">
        <w:rPr>
          <w:rFonts w:ascii="Georgia" w:hAnsi="Georgia"/>
          <w:i/>
          <w:iCs/>
        </w:rPr>
        <w:t>l</w:t>
      </w:r>
      <w:r w:rsidR="000D04EB" w:rsidRPr="00B55140">
        <w:rPr>
          <w:rFonts w:ascii="Georgia" w:hAnsi="Georgia"/>
          <w:i/>
          <w:iCs/>
        </w:rPr>
        <w:t>’</w:t>
      </w:r>
      <w:r w:rsidRPr="00B55140">
        <w:rPr>
          <w:rFonts w:ascii="Georgia" w:hAnsi="Georgia"/>
          <w:i/>
          <w:iCs/>
        </w:rPr>
        <w:t>approche.</w:t>
      </w:r>
      <w:r w:rsidRPr="00B55140">
        <w:rPr>
          <w:rStyle w:val="FootnoteReference"/>
          <w:rFonts w:ascii="Georgia" w:hAnsi="Georgia" w:cstheme="minorHAnsi"/>
          <w:i/>
          <w:iCs/>
          <w:lang w:val="en-GB"/>
        </w:rPr>
        <w:footnoteReference w:id="7"/>
      </w:r>
      <w:r w:rsidRPr="00B55140">
        <w:rPr>
          <w:rFonts w:ascii="Georgia" w:hAnsi="Georgia"/>
          <w:i/>
          <w:iCs/>
        </w:rPr>
        <w:t xml:space="preserve"> </w:t>
      </w:r>
    </w:p>
    <w:p w14:paraId="29F02069" w14:textId="77777777" w:rsidR="002F2DD8" w:rsidRPr="000F6DE7" w:rsidRDefault="002F2DD8" w:rsidP="002F2DD8">
      <w:pPr>
        <w:pStyle w:val="NoSpacing"/>
        <w:rPr>
          <w:rFonts w:ascii="Georgia" w:hAnsi="Georgia" w:cstheme="minorHAnsi"/>
        </w:rPr>
      </w:pPr>
    </w:p>
    <w:p w14:paraId="7C181277" w14:textId="6ADC415B" w:rsidR="002F2DD8" w:rsidRPr="0033724B" w:rsidRDefault="002F2DD8" w:rsidP="002F2DD8">
      <w:pPr>
        <w:pStyle w:val="NoSpacing"/>
        <w:rPr>
          <w:rFonts w:ascii="Georgia" w:hAnsi="Georgia" w:cstheme="majorHAnsi"/>
          <w:b/>
          <w:color w:val="4472C4" w:themeColor="accent1"/>
        </w:rPr>
      </w:pPr>
      <w:r>
        <w:rPr>
          <w:rFonts w:ascii="Georgia" w:hAnsi="Georgia"/>
          <w:b/>
          <w:color w:val="4472C4" w:themeColor="accent1"/>
        </w:rPr>
        <w:t>Les programmes visant l’élimination des obstacles liés aux droits humains qui entravent l’accès aux services ne sont pas suffisamment intégrés ou liés aux programmes de prévention, de traitement et de ciblage des populations clés qu</w:t>
      </w:r>
      <w:r w:rsidR="000D04EB">
        <w:rPr>
          <w:rFonts w:ascii="Georgia" w:hAnsi="Georgia"/>
          <w:b/>
          <w:color w:val="4472C4" w:themeColor="accent1"/>
        </w:rPr>
        <w:t>’</w:t>
      </w:r>
      <w:r>
        <w:rPr>
          <w:rFonts w:ascii="Georgia" w:hAnsi="Georgia"/>
          <w:b/>
          <w:color w:val="4472C4" w:themeColor="accent1"/>
        </w:rPr>
        <w:t>ils sont censés appuyer.</w:t>
      </w:r>
    </w:p>
    <w:p w14:paraId="42895385" w14:textId="06352D5B" w:rsidR="002F2DD8" w:rsidRPr="002F2DD8" w:rsidRDefault="002F2DD8" w:rsidP="002F2DD8">
      <w:pPr>
        <w:pStyle w:val="NoSpacing"/>
        <w:rPr>
          <w:rFonts w:ascii="Georgia" w:hAnsi="Georgia" w:cstheme="minorHAnsi"/>
        </w:rPr>
      </w:pPr>
      <w:r>
        <w:rPr>
          <w:rFonts w:ascii="Georgia" w:hAnsi="Georgia"/>
        </w:rPr>
        <w:t>Bien que les évaluations de référence aient montré l’existence de programmes visant à supprimer les obstacles, comme décrit ci-dessus, elle</w:t>
      </w:r>
      <w:r w:rsidR="000D04EB">
        <w:rPr>
          <w:rFonts w:ascii="Georgia" w:hAnsi="Georgia"/>
        </w:rPr>
        <w:t>s</w:t>
      </w:r>
      <w:r>
        <w:rPr>
          <w:rFonts w:ascii="Georgia" w:hAnsi="Georgia"/>
        </w:rPr>
        <w:t xml:space="preserve"> n’arrivent pas à la conclusion que ces programmes ont été planifiés et mis en œuvre de façon stratégique pour éliminer le plus efficacement possible les obstacles aux programmes existants de prévention, de traitement et de ciblage des populations clés. Il faudrait pour cela que les programmes « suivent » les stratégies nationales de prévention et de traitement, c’est-à-dire qu’ils soient déployés dans le cadre de ces stratégies</w:t>
      </w:r>
      <w:r w:rsidR="00F64177">
        <w:rPr>
          <w:rFonts w:ascii="Georgia" w:hAnsi="Georgia"/>
        </w:rPr>
        <w:t xml:space="preserve"> ; alors seulement bénéficieront-ils </w:t>
      </w:r>
      <w:r>
        <w:rPr>
          <w:rFonts w:ascii="Georgia" w:hAnsi="Georgia"/>
        </w:rPr>
        <w:t>aux populations censé</w:t>
      </w:r>
      <w:r w:rsidR="00F64177">
        <w:rPr>
          <w:rFonts w:ascii="Georgia" w:hAnsi="Georgia"/>
        </w:rPr>
        <w:t xml:space="preserve">ment visées par les </w:t>
      </w:r>
      <w:r>
        <w:rPr>
          <w:rFonts w:ascii="Georgia" w:hAnsi="Georgia"/>
        </w:rPr>
        <w:t>initiatives de prévention, de traitement et de rétention</w:t>
      </w:r>
      <w:r w:rsidR="00F16AB6">
        <w:rPr>
          <w:rFonts w:ascii="Georgia" w:hAnsi="Georgia"/>
        </w:rPr>
        <w:t xml:space="preserve">. </w:t>
      </w:r>
      <w:r>
        <w:rPr>
          <w:rFonts w:ascii="Georgia" w:hAnsi="Georgia"/>
        </w:rPr>
        <w:t xml:space="preserve">Pour ce faire, les interventions individuelles doivent être intégrées, dans la mesure du possible, aux programmes de prévention, de traitement et de rétention, par exemple en </w:t>
      </w:r>
      <w:r w:rsidR="00D03CE8">
        <w:rPr>
          <w:rFonts w:ascii="Georgia" w:hAnsi="Georgia"/>
        </w:rPr>
        <w:t xml:space="preserve">créant </w:t>
      </w:r>
      <w:r>
        <w:rPr>
          <w:rFonts w:ascii="Georgia" w:hAnsi="Georgia"/>
        </w:rPr>
        <w:t xml:space="preserve">une cohorte de travailleurs de proximité en santé communautaire formés comme éducateurs pairs en matière de droits de la personne ou comme parajuristes ; en incluant dans les principaux programmes populaires des composantes d’éducation juridique et de suivi communautaire ; ou </w:t>
      </w:r>
      <w:r w:rsidR="006F7233">
        <w:rPr>
          <w:rFonts w:ascii="Georgia" w:hAnsi="Georgia"/>
        </w:rPr>
        <w:t xml:space="preserve">encore </w:t>
      </w:r>
      <w:r>
        <w:rPr>
          <w:rFonts w:ascii="Georgia" w:hAnsi="Georgia"/>
        </w:rPr>
        <w:t xml:space="preserve">en incluant des documents sur les droits humains, l’éthique médicale et les droits des patients dans les formations sur les </w:t>
      </w:r>
      <w:r w:rsidR="0011298A">
        <w:rPr>
          <w:rFonts w:ascii="Georgia" w:hAnsi="Georgia"/>
        </w:rPr>
        <w:t xml:space="preserve">nouveaux </w:t>
      </w:r>
      <w:r>
        <w:rPr>
          <w:rFonts w:ascii="Georgia" w:hAnsi="Georgia"/>
        </w:rPr>
        <w:t xml:space="preserve">traitements à l’intention des travailleurs de la santé. Là où les services de prévention et de traitement pour les populations exclues sont insuffisants, les programmes visant à supprimer les obstacles aux services devraient être conçus </w:t>
      </w:r>
      <w:r w:rsidR="00DA59D6">
        <w:rPr>
          <w:rFonts w:ascii="Georgia" w:hAnsi="Georgia"/>
        </w:rPr>
        <w:t xml:space="preserve">pour s’opposer à </w:t>
      </w:r>
      <w:r>
        <w:rPr>
          <w:rFonts w:ascii="Georgia" w:hAnsi="Georgia"/>
        </w:rPr>
        <w:t xml:space="preserve">cette exclusion, en amenant les populations exclues à connaître leurs droits, à se mobiliser et à défendre leurs droits, et en modifiant les lois et les politiques </w:t>
      </w:r>
      <w:r w:rsidR="00915241">
        <w:rPr>
          <w:rFonts w:ascii="Georgia" w:hAnsi="Georgia"/>
        </w:rPr>
        <w:t>porteuses d</w:t>
      </w:r>
      <w:r>
        <w:rPr>
          <w:rFonts w:ascii="Georgia" w:hAnsi="Georgia"/>
        </w:rPr>
        <w:t>’exclusion. Les évaluations de référence n</w:t>
      </w:r>
      <w:r w:rsidR="000D04EB">
        <w:rPr>
          <w:rFonts w:ascii="Georgia" w:hAnsi="Georgia"/>
        </w:rPr>
        <w:t>’</w:t>
      </w:r>
      <w:r>
        <w:rPr>
          <w:rFonts w:ascii="Georgia" w:hAnsi="Georgia"/>
        </w:rPr>
        <w:t xml:space="preserve">ont pas </w:t>
      </w:r>
      <w:r w:rsidR="006815F4">
        <w:rPr>
          <w:rFonts w:ascii="Georgia" w:hAnsi="Georgia"/>
        </w:rPr>
        <w:t xml:space="preserve">mis au jour </w:t>
      </w:r>
      <w:r>
        <w:rPr>
          <w:rFonts w:ascii="Georgia" w:hAnsi="Georgia"/>
        </w:rPr>
        <w:t>ce genre de liens, d</w:t>
      </w:r>
      <w:r w:rsidR="000D04EB">
        <w:rPr>
          <w:rFonts w:ascii="Georgia" w:hAnsi="Georgia"/>
        </w:rPr>
        <w:t>’</w:t>
      </w:r>
      <w:r>
        <w:rPr>
          <w:rFonts w:ascii="Georgia" w:hAnsi="Georgia"/>
        </w:rPr>
        <w:t xml:space="preserve">intégration ou de </w:t>
      </w:r>
      <w:r w:rsidR="00346B09">
        <w:rPr>
          <w:rFonts w:ascii="Georgia" w:hAnsi="Georgia"/>
        </w:rPr>
        <w:t xml:space="preserve">volonté </w:t>
      </w:r>
      <w:r>
        <w:rPr>
          <w:rFonts w:ascii="Georgia" w:hAnsi="Georgia"/>
        </w:rPr>
        <w:t>de mettre un terme à l</w:t>
      </w:r>
      <w:r w:rsidR="000D04EB">
        <w:rPr>
          <w:rFonts w:ascii="Georgia" w:hAnsi="Georgia"/>
        </w:rPr>
        <w:t>’</w:t>
      </w:r>
      <w:r>
        <w:rPr>
          <w:rFonts w:ascii="Georgia" w:hAnsi="Georgia"/>
        </w:rPr>
        <w:t>exclusion.</w:t>
      </w:r>
    </w:p>
    <w:p w14:paraId="2955EB90" w14:textId="77777777" w:rsidR="002F2DD8" w:rsidRPr="000F6DE7" w:rsidRDefault="002F2DD8" w:rsidP="002F2DD8">
      <w:pPr>
        <w:pStyle w:val="NoSpacing"/>
        <w:rPr>
          <w:rFonts w:ascii="Georgia" w:hAnsi="Georgia" w:cstheme="minorHAnsi"/>
        </w:rPr>
      </w:pPr>
    </w:p>
    <w:p w14:paraId="603AA969" w14:textId="77777777" w:rsidR="002F2DD8" w:rsidRPr="0033724B" w:rsidRDefault="002F2DD8" w:rsidP="002F2DD8">
      <w:pPr>
        <w:pStyle w:val="NoSpacing"/>
        <w:rPr>
          <w:rFonts w:ascii="Georgia" w:hAnsi="Georgia" w:cstheme="majorHAnsi"/>
          <w:b/>
          <w:color w:val="4472C4" w:themeColor="accent1"/>
        </w:rPr>
      </w:pPr>
      <w:r>
        <w:rPr>
          <w:rFonts w:ascii="Georgia" w:hAnsi="Georgia"/>
          <w:b/>
          <w:color w:val="4472C4" w:themeColor="accent1"/>
        </w:rPr>
        <w:t>Les capacités des organismes populaires sont insuffisantes, tout comme le soutien dont ils bénéficient.</w:t>
      </w:r>
    </w:p>
    <w:p w14:paraId="45820087" w14:textId="1D686AD0" w:rsidR="002F2DD8" w:rsidRPr="002F2DD8" w:rsidRDefault="005453FB" w:rsidP="002F2DD8">
      <w:pPr>
        <w:pStyle w:val="NoSpacing"/>
        <w:rPr>
          <w:rFonts w:ascii="Georgia" w:hAnsi="Georgia" w:cstheme="minorHAnsi"/>
        </w:rPr>
      </w:pPr>
      <w:r>
        <w:rPr>
          <w:rFonts w:ascii="Georgia" w:hAnsi="Georgia"/>
        </w:rPr>
        <w:t xml:space="preserve">Les </w:t>
      </w:r>
      <w:r w:rsidR="002F2DD8">
        <w:rPr>
          <w:rFonts w:ascii="Georgia" w:hAnsi="Georgia"/>
        </w:rPr>
        <w:t>évaluations de référence</w:t>
      </w:r>
      <w:r>
        <w:rPr>
          <w:rFonts w:ascii="Georgia" w:hAnsi="Georgia"/>
        </w:rPr>
        <w:t xml:space="preserve"> comportent un thème récurrent </w:t>
      </w:r>
      <w:r w:rsidR="002F2DD8">
        <w:rPr>
          <w:rFonts w:ascii="Georgia" w:hAnsi="Georgia"/>
        </w:rPr>
        <w:t xml:space="preserve">: pour intensifier et </w:t>
      </w:r>
      <w:r w:rsidR="00561D36">
        <w:rPr>
          <w:rFonts w:ascii="Georgia" w:hAnsi="Georgia"/>
        </w:rPr>
        <w:t xml:space="preserve">pérenniser </w:t>
      </w:r>
      <w:r w:rsidR="002F2DD8">
        <w:rPr>
          <w:rFonts w:ascii="Georgia" w:hAnsi="Georgia"/>
        </w:rPr>
        <w:t>des programmes visant à réduire les obstacles liés aux droits humains dans de multiples contextes, il faut que des organismes dirigés par les populations clés eux-mêmes participent sensiblement à la prestation des services</w:t>
      </w:r>
      <w:r w:rsidR="00F16AB6">
        <w:rPr>
          <w:rFonts w:ascii="Georgia" w:hAnsi="Georgia"/>
        </w:rPr>
        <w:t xml:space="preserve">. </w:t>
      </w:r>
      <w:r w:rsidR="002F2DD8">
        <w:rPr>
          <w:rFonts w:ascii="Georgia" w:hAnsi="Georgia"/>
        </w:rPr>
        <w:t>Malheureusement, comme de nombreuses évaluations</w:t>
      </w:r>
      <w:r>
        <w:rPr>
          <w:rFonts w:ascii="Georgia" w:hAnsi="Georgia"/>
        </w:rPr>
        <w:t xml:space="preserve"> l’ont souligné</w:t>
      </w:r>
      <w:r w:rsidR="002F2DD8">
        <w:rPr>
          <w:rFonts w:ascii="Georgia" w:hAnsi="Georgia"/>
        </w:rPr>
        <w:t xml:space="preserve">, ce sont souvent ces mêmes organismes qui ont le moins accès à un financement soutenu, en particulier au financement de base, et leurs activités sont </w:t>
      </w:r>
      <w:r w:rsidR="00DC668B">
        <w:rPr>
          <w:rFonts w:ascii="Georgia" w:hAnsi="Georgia"/>
        </w:rPr>
        <w:t xml:space="preserve">couramment </w:t>
      </w:r>
      <w:r w:rsidR="002F2DD8">
        <w:rPr>
          <w:rFonts w:ascii="Georgia" w:hAnsi="Georgia"/>
        </w:rPr>
        <w:t>entravées par la marginalisation sociale et la criminalisation indue de leur personnel et de leur clientèle</w:t>
      </w:r>
      <w:r w:rsidR="00F16AB6">
        <w:rPr>
          <w:rFonts w:ascii="Georgia" w:hAnsi="Georgia"/>
        </w:rPr>
        <w:t xml:space="preserve">. </w:t>
      </w:r>
      <w:r w:rsidR="002F2DD8">
        <w:rPr>
          <w:rFonts w:ascii="Georgia" w:hAnsi="Georgia"/>
        </w:rPr>
        <w:t xml:space="preserve">À l’instar d’autres organismes communautaires, ils </w:t>
      </w:r>
      <w:r w:rsidR="003458C0">
        <w:rPr>
          <w:rFonts w:ascii="Georgia" w:hAnsi="Georgia"/>
        </w:rPr>
        <w:t xml:space="preserve">auraient </w:t>
      </w:r>
      <w:r w:rsidR="002F2DD8">
        <w:rPr>
          <w:rFonts w:ascii="Georgia" w:hAnsi="Georgia"/>
        </w:rPr>
        <w:t>besoin de renforcer leurs capacités en gestion, en conception, en mise en œuvre, en suivi et en évaluation de programme, sans compter leurs capacités de mobilisation et de plaidoyer en matière de politiques</w:t>
      </w:r>
      <w:r w:rsidR="00F16AB6">
        <w:rPr>
          <w:rFonts w:ascii="Georgia" w:hAnsi="Georgia"/>
        </w:rPr>
        <w:t xml:space="preserve">. </w:t>
      </w:r>
      <w:r w:rsidR="002F2DD8">
        <w:rPr>
          <w:rFonts w:ascii="Georgia" w:hAnsi="Georgia"/>
        </w:rPr>
        <w:t xml:space="preserve">Plusieurs moyens de répondre à ces besoins ont été suggérés, </w:t>
      </w:r>
      <w:r w:rsidR="00F22E40">
        <w:rPr>
          <w:rFonts w:ascii="Georgia" w:hAnsi="Georgia"/>
        </w:rPr>
        <w:t xml:space="preserve">par exemple </w:t>
      </w:r>
      <w:r w:rsidR="002F2DD8">
        <w:rPr>
          <w:rFonts w:ascii="Georgia" w:hAnsi="Georgia"/>
        </w:rPr>
        <w:t xml:space="preserve">travailler avec tous les donateurs pour </w:t>
      </w:r>
      <w:r w:rsidR="00B36FAA">
        <w:rPr>
          <w:rFonts w:ascii="Georgia" w:hAnsi="Georgia"/>
        </w:rPr>
        <w:t xml:space="preserve">plaider en faveur </w:t>
      </w:r>
      <w:r w:rsidR="002F2DD8">
        <w:rPr>
          <w:rFonts w:ascii="Georgia" w:hAnsi="Georgia"/>
        </w:rPr>
        <w:t>d</w:t>
      </w:r>
      <w:r w:rsidR="000D04EB">
        <w:rPr>
          <w:rFonts w:ascii="Georgia" w:hAnsi="Georgia"/>
        </w:rPr>
        <w:t>’</w:t>
      </w:r>
      <w:r w:rsidR="002F2DD8">
        <w:rPr>
          <w:rFonts w:ascii="Georgia" w:hAnsi="Georgia"/>
        </w:rPr>
        <w:t xml:space="preserve">un financement soutenu des organismes dirigés par les populations clés, veiller à ce que les populations clés soient représentées et écoutées dans les ICN, voire, dans le cas du Kirghizistan, encourager les membres des populations clés à briguer des fonctions </w:t>
      </w:r>
      <w:r w:rsidR="002F2DD8">
        <w:rPr>
          <w:rFonts w:ascii="Georgia" w:hAnsi="Georgia"/>
        </w:rPr>
        <w:lastRenderedPageBreak/>
        <w:t>électives</w:t>
      </w:r>
      <w:r w:rsidR="00F16AB6">
        <w:rPr>
          <w:rFonts w:ascii="Georgia" w:hAnsi="Georgia"/>
        </w:rPr>
        <w:t xml:space="preserve">. </w:t>
      </w:r>
      <w:r w:rsidR="002F2DD8">
        <w:rPr>
          <w:rFonts w:ascii="Georgia" w:hAnsi="Georgia"/>
        </w:rPr>
        <w:t xml:space="preserve">Il ressort clairement des évaluations de référence qu’il faut trouver des moyens systématiques de fournir une assistance technique et administrative et un financement soutenu aux organismes dirigés par les populations clés </w:t>
      </w:r>
      <w:r w:rsidR="00B511E2">
        <w:rPr>
          <w:rFonts w:ascii="Georgia" w:hAnsi="Georgia"/>
        </w:rPr>
        <w:t xml:space="preserve">si l’on souhaite véritablement </w:t>
      </w:r>
      <w:r w:rsidR="002F2DD8">
        <w:rPr>
          <w:rFonts w:ascii="Georgia" w:hAnsi="Georgia"/>
        </w:rPr>
        <w:t xml:space="preserve">éliminer les obstacles liés aux droits humains qui entravent l’accès aux services. </w:t>
      </w:r>
    </w:p>
    <w:p w14:paraId="275B1DA7" w14:textId="77777777" w:rsidR="002F2DD8" w:rsidRPr="002F2DD8" w:rsidRDefault="002F2DD8" w:rsidP="002F2DD8">
      <w:pPr>
        <w:pStyle w:val="NoSpacing"/>
        <w:rPr>
          <w:rFonts w:ascii="Georgia" w:hAnsi="Georgia"/>
        </w:rPr>
      </w:pPr>
    </w:p>
    <w:p w14:paraId="6D8D44A4" w14:textId="10CFF203" w:rsidR="002F2DD8" w:rsidRPr="0033724B" w:rsidRDefault="002F2DD8" w:rsidP="002F2DD8">
      <w:pPr>
        <w:pStyle w:val="NoSpacing"/>
        <w:rPr>
          <w:rFonts w:ascii="Georgia" w:hAnsi="Georgia" w:cstheme="majorHAnsi"/>
          <w:b/>
          <w:color w:val="4472C4" w:themeColor="accent1"/>
        </w:rPr>
      </w:pPr>
      <w:r>
        <w:rPr>
          <w:rFonts w:ascii="Georgia" w:hAnsi="Georgia"/>
          <w:b/>
          <w:color w:val="4472C4" w:themeColor="accent1"/>
        </w:rPr>
        <w:t>Il est nécessaire d</w:t>
      </w:r>
      <w:r w:rsidR="000D04EB">
        <w:rPr>
          <w:rFonts w:ascii="Georgia" w:hAnsi="Georgia"/>
          <w:b/>
          <w:color w:val="4472C4" w:themeColor="accent1"/>
        </w:rPr>
        <w:t>’</w:t>
      </w:r>
      <w:r>
        <w:rPr>
          <w:rFonts w:ascii="Georgia" w:hAnsi="Georgia"/>
          <w:b/>
          <w:color w:val="4472C4" w:themeColor="accent1"/>
        </w:rPr>
        <w:t>appuyer adéquatement et de mettre en œuvre des initiatives plus soutenues de suivi et d’évaluation</w:t>
      </w:r>
      <w:r w:rsidR="00F16AB6">
        <w:rPr>
          <w:rFonts w:ascii="Georgia" w:hAnsi="Georgia"/>
          <w:b/>
          <w:color w:val="4472C4" w:themeColor="accent1"/>
        </w:rPr>
        <w:t xml:space="preserve">. </w:t>
      </w:r>
    </w:p>
    <w:p w14:paraId="5F8F3186" w14:textId="39908CFB" w:rsidR="002F2DD8" w:rsidRPr="002F2DD8" w:rsidRDefault="00A478B6" w:rsidP="002F2DD8">
      <w:pPr>
        <w:pStyle w:val="NoSpacing"/>
        <w:rPr>
          <w:rFonts w:ascii="Georgia" w:hAnsi="Georgia"/>
        </w:rPr>
      </w:pPr>
      <w:r>
        <w:rPr>
          <w:rFonts w:ascii="Georgia" w:hAnsi="Georgia"/>
        </w:rPr>
        <w:t>L</w:t>
      </w:r>
      <w:r w:rsidR="002F2DD8">
        <w:rPr>
          <w:rFonts w:ascii="Georgia" w:hAnsi="Georgia"/>
        </w:rPr>
        <w:t>a majorité des évaluations de référence ont souligné la nécessité d</w:t>
      </w:r>
      <w:r w:rsidR="000D04EB">
        <w:rPr>
          <w:rFonts w:ascii="Georgia" w:hAnsi="Georgia"/>
        </w:rPr>
        <w:t>’</w:t>
      </w:r>
      <w:r w:rsidR="002F2DD8">
        <w:rPr>
          <w:rFonts w:ascii="Georgia" w:hAnsi="Georgia"/>
        </w:rPr>
        <w:t>un suivi et d</w:t>
      </w:r>
      <w:r w:rsidR="000D04EB">
        <w:rPr>
          <w:rFonts w:ascii="Georgia" w:hAnsi="Georgia"/>
        </w:rPr>
        <w:t>’</w:t>
      </w:r>
      <w:r w:rsidR="002F2DD8">
        <w:rPr>
          <w:rFonts w:ascii="Georgia" w:hAnsi="Georgia"/>
        </w:rPr>
        <w:t>une évaluation plus étroits et systématiques de tous les programmes, populaires et autres, visant à réduire les obstacles liés aux droits humains</w:t>
      </w:r>
      <w:r w:rsidR="00F16AB6">
        <w:rPr>
          <w:rFonts w:ascii="Georgia" w:hAnsi="Georgia"/>
        </w:rPr>
        <w:t xml:space="preserve">. </w:t>
      </w:r>
      <w:r w:rsidR="002F2DD8">
        <w:rPr>
          <w:rFonts w:ascii="Georgia" w:hAnsi="Georgia"/>
        </w:rPr>
        <w:t>L</w:t>
      </w:r>
      <w:r w:rsidR="000D04EB">
        <w:rPr>
          <w:rFonts w:ascii="Georgia" w:hAnsi="Georgia"/>
        </w:rPr>
        <w:t>’</w:t>
      </w:r>
      <w:r w:rsidR="002F2DD8">
        <w:rPr>
          <w:rFonts w:ascii="Georgia" w:hAnsi="Georgia"/>
        </w:rPr>
        <w:t>absence d</w:t>
      </w:r>
      <w:r w:rsidR="000D04EB">
        <w:rPr>
          <w:rFonts w:ascii="Georgia" w:hAnsi="Georgia"/>
        </w:rPr>
        <w:t>’</w:t>
      </w:r>
      <w:r w:rsidR="002F2DD8">
        <w:rPr>
          <w:rFonts w:ascii="Georgia" w:hAnsi="Georgia"/>
        </w:rPr>
        <w:t xml:space="preserve">évaluation rigoureuse de ces programmes </w:t>
      </w:r>
      <w:r>
        <w:rPr>
          <w:rFonts w:ascii="Georgia" w:hAnsi="Georgia"/>
        </w:rPr>
        <w:t xml:space="preserve">fait </w:t>
      </w:r>
      <w:r w:rsidR="002F2DD8">
        <w:rPr>
          <w:rFonts w:ascii="Georgia" w:hAnsi="Georgia"/>
        </w:rPr>
        <w:t>obstacle à l</w:t>
      </w:r>
      <w:r w:rsidR="000D04EB">
        <w:rPr>
          <w:rFonts w:ascii="Georgia" w:hAnsi="Georgia"/>
        </w:rPr>
        <w:t>’</w:t>
      </w:r>
      <w:r w:rsidR="002F2DD8">
        <w:rPr>
          <w:rFonts w:ascii="Georgia" w:hAnsi="Georgia"/>
        </w:rPr>
        <w:t>obtention d</w:t>
      </w:r>
      <w:r w:rsidR="000D04EB">
        <w:rPr>
          <w:rFonts w:ascii="Georgia" w:hAnsi="Georgia"/>
        </w:rPr>
        <w:t>’</w:t>
      </w:r>
      <w:r w:rsidR="002F2DD8">
        <w:rPr>
          <w:rFonts w:ascii="Georgia" w:hAnsi="Georgia"/>
        </w:rPr>
        <w:t>un financement durable et à l</w:t>
      </w:r>
      <w:r w:rsidR="000D04EB">
        <w:rPr>
          <w:rFonts w:ascii="Georgia" w:hAnsi="Georgia"/>
        </w:rPr>
        <w:t>’</w:t>
      </w:r>
      <w:r w:rsidR="002F2DD8">
        <w:rPr>
          <w:rFonts w:ascii="Georgia" w:hAnsi="Georgia"/>
        </w:rPr>
        <w:t>intensification des activités</w:t>
      </w:r>
      <w:r w:rsidR="00F16AB6">
        <w:rPr>
          <w:rFonts w:ascii="Georgia" w:hAnsi="Georgia"/>
        </w:rPr>
        <w:t xml:space="preserve">. </w:t>
      </w:r>
      <w:r w:rsidR="002F2DD8">
        <w:rPr>
          <w:rFonts w:ascii="Georgia" w:hAnsi="Georgia"/>
        </w:rPr>
        <w:t xml:space="preserve">Il est grand temps de mener des études établissant un lien entre les activités </w:t>
      </w:r>
      <w:r>
        <w:rPr>
          <w:rFonts w:ascii="Georgia" w:hAnsi="Georgia"/>
        </w:rPr>
        <w:t xml:space="preserve">de </w:t>
      </w:r>
      <w:r w:rsidR="002F2DD8">
        <w:rPr>
          <w:rFonts w:ascii="Georgia" w:hAnsi="Georgia"/>
        </w:rPr>
        <w:t>rédu</w:t>
      </w:r>
      <w:r>
        <w:rPr>
          <w:rFonts w:ascii="Georgia" w:hAnsi="Georgia"/>
        </w:rPr>
        <w:t>ction</w:t>
      </w:r>
      <w:r w:rsidR="002F2DD8">
        <w:rPr>
          <w:rFonts w:ascii="Georgia" w:hAnsi="Georgia"/>
        </w:rPr>
        <w:t xml:space="preserve"> </w:t>
      </w:r>
      <w:r>
        <w:rPr>
          <w:rFonts w:ascii="Georgia" w:hAnsi="Georgia"/>
        </w:rPr>
        <w:t>d</w:t>
      </w:r>
      <w:r w:rsidR="002F2DD8">
        <w:rPr>
          <w:rFonts w:ascii="Georgia" w:hAnsi="Georgia"/>
        </w:rPr>
        <w:t xml:space="preserve">es obstacles liés aux droits humains et </w:t>
      </w:r>
      <w:r w:rsidR="00165E17">
        <w:rPr>
          <w:rFonts w:ascii="Georgia" w:hAnsi="Georgia"/>
        </w:rPr>
        <w:t xml:space="preserve">les </w:t>
      </w:r>
      <w:r w:rsidR="002F2DD8">
        <w:rPr>
          <w:rFonts w:ascii="Georgia" w:hAnsi="Georgia"/>
        </w:rPr>
        <w:t>données quantitatives sur l</w:t>
      </w:r>
      <w:r w:rsidR="000D04EB">
        <w:rPr>
          <w:rFonts w:ascii="Georgia" w:hAnsi="Georgia"/>
        </w:rPr>
        <w:t>’</w:t>
      </w:r>
      <w:r w:rsidR="002F2DD8">
        <w:rPr>
          <w:rFonts w:ascii="Georgia" w:hAnsi="Georgia"/>
        </w:rPr>
        <w:t>accès et l’utilisation des services de prévention et de traitement, concluent les évaluations de référence</w:t>
      </w:r>
      <w:r w:rsidR="00F16AB6">
        <w:rPr>
          <w:rFonts w:ascii="Georgia" w:hAnsi="Georgia"/>
        </w:rPr>
        <w:t xml:space="preserve">. </w:t>
      </w:r>
      <w:r w:rsidR="002F2DD8">
        <w:rPr>
          <w:rFonts w:ascii="Georgia" w:hAnsi="Georgia"/>
        </w:rPr>
        <w:t xml:space="preserve">Presque toutes </w:t>
      </w:r>
      <w:r w:rsidR="00E46F69">
        <w:rPr>
          <w:rFonts w:ascii="Georgia" w:hAnsi="Georgia"/>
        </w:rPr>
        <w:t xml:space="preserve">les évaluations demandent </w:t>
      </w:r>
      <w:r w:rsidR="002F2DD8">
        <w:rPr>
          <w:rFonts w:ascii="Georgia" w:hAnsi="Georgia"/>
        </w:rPr>
        <w:t>l’application régulière de l</w:t>
      </w:r>
      <w:r w:rsidR="000D04EB">
        <w:rPr>
          <w:rFonts w:ascii="Georgia" w:hAnsi="Georgia"/>
        </w:rPr>
        <w:t>’</w:t>
      </w:r>
      <w:r w:rsidR="002F2DD8">
        <w:rPr>
          <w:rFonts w:ascii="Georgia" w:hAnsi="Georgia"/>
          <w:i/>
        </w:rPr>
        <w:t>indice de stigmatisation des personnes vivant avec le VIH</w:t>
      </w:r>
      <w:r w:rsidR="002F2DD8">
        <w:rPr>
          <w:rFonts w:ascii="Georgia" w:hAnsi="Georgia"/>
        </w:rPr>
        <w:t>, qui s’impose comme l’outil standard pour l’évaluation des efforts de réduction de la stigmatisation et l</w:t>
      </w:r>
      <w:r w:rsidR="000D04EB">
        <w:rPr>
          <w:rFonts w:ascii="Georgia" w:hAnsi="Georgia"/>
        </w:rPr>
        <w:t>’</w:t>
      </w:r>
      <w:r w:rsidR="002F2DD8">
        <w:rPr>
          <w:rFonts w:ascii="Georgia" w:hAnsi="Georgia"/>
        </w:rPr>
        <w:t>analyse de la situation</w:t>
      </w:r>
      <w:r w:rsidR="00F16AB6">
        <w:rPr>
          <w:rFonts w:ascii="Georgia" w:hAnsi="Georgia"/>
        </w:rPr>
        <w:t xml:space="preserve">. </w:t>
      </w:r>
      <w:r w:rsidR="002F2DD8">
        <w:rPr>
          <w:rFonts w:ascii="Georgia" w:hAnsi="Georgia"/>
        </w:rPr>
        <w:t>L’application régulière d</w:t>
      </w:r>
      <w:r w:rsidR="000D04EB">
        <w:rPr>
          <w:rFonts w:ascii="Georgia" w:hAnsi="Georgia"/>
        </w:rPr>
        <w:t>’</w:t>
      </w:r>
      <w:r w:rsidR="002F2DD8">
        <w:rPr>
          <w:rFonts w:ascii="Georgia" w:hAnsi="Georgia"/>
        </w:rPr>
        <w:t>autres outils de ce type est nécessaire.</w:t>
      </w:r>
    </w:p>
    <w:p w14:paraId="136BDBE4" w14:textId="77777777" w:rsidR="002F2DD8" w:rsidRPr="002F2DD8" w:rsidRDefault="002F2DD8" w:rsidP="002F2DD8">
      <w:pPr>
        <w:pStyle w:val="NoSpacing"/>
        <w:rPr>
          <w:rFonts w:ascii="Georgia" w:hAnsi="Georgia"/>
        </w:rPr>
      </w:pPr>
    </w:p>
    <w:p w14:paraId="2BDF771F" w14:textId="2677C467" w:rsidR="002F2DD8" w:rsidRPr="0033724B" w:rsidRDefault="002F2DD8" w:rsidP="002F2DD8">
      <w:pPr>
        <w:pStyle w:val="NoSpacing"/>
        <w:rPr>
          <w:rFonts w:ascii="Georgia" w:hAnsi="Georgia" w:cstheme="majorHAnsi"/>
          <w:b/>
          <w:color w:val="4472C4" w:themeColor="accent1"/>
        </w:rPr>
      </w:pPr>
      <w:r>
        <w:rPr>
          <w:rFonts w:ascii="Georgia" w:hAnsi="Georgia"/>
          <w:b/>
          <w:color w:val="4472C4" w:themeColor="accent1"/>
        </w:rPr>
        <w:t>Les coûts d’une réponse globale ne sont pas couverts</w:t>
      </w:r>
      <w:r w:rsidR="00F16AB6">
        <w:rPr>
          <w:rFonts w:ascii="Georgia" w:hAnsi="Georgia"/>
          <w:b/>
          <w:color w:val="4472C4" w:themeColor="accent1"/>
        </w:rPr>
        <w:t xml:space="preserve">. </w:t>
      </w:r>
    </w:p>
    <w:p w14:paraId="36E9AA11" w14:textId="3D9F22AA" w:rsidR="002F2DD8" w:rsidRPr="002F2DD8" w:rsidRDefault="002F2DD8" w:rsidP="002F2DD8">
      <w:pPr>
        <w:pStyle w:val="NoSpacing"/>
        <w:rPr>
          <w:rFonts w:ascii="Georgia" w:hAnsi="Georgia"/>
        </w:rPr>
      </w:pPr>
      <w:r>
        <w:rPr>
          <w:rFonts w:ascii="Georgia" w:hAnsi="Georgia"/>
        </w:rPr>
        <w:t xml:space="preserve">Dans la plupart des 20 pays, les coûts annuels estimatifs d’une réponse globale aux obstacles liés aux droits humains qui entravent l’accès aux services de lutte contre le VIH étaient de 2 à 12 fois supérieurs aux coûts estimatifs des programmes </w:t>
      </w:r>
      <w:r w:rsidR="006007FA">
        <w:rPr>
          <w:rFonts w:ascii="Georgia" w:hAnsi="Georgia"/>
        </w:rPr>
        <w:t xml:space="preserve">en cours </w:t>
      </w:r>
      <w:r>
        <w:rPr>
          <w:rFonts w:ascii="Georgia" w:hAnsi="Georgia"/>
        </w:rPr>
        <w:t>dans les quelques années précédentes</w:t>
      </w:r>
      <w:r w:rsidR="00F16AB6">
        <w:rPr>
          <w:rFonts w:ascii="Georgia" w:hAnsi="Georgia"/>
        </w:rPr>
        <w:t xml:space="preserve">. </w:t>
      </w:r>
      <w:r>
        <w:rPr>
          <w:rFonts w:ascii="Georgia" w:hAnsi="Georgia"/>
        </w:rPr>
        <w:t>Cette disparité était encore plus grande dans le cas de la tuberculose, car certains pays n</w:t>
      </w:r>
      <w:r w:rsidR="000D04EB">
        <w:rPr>
          <w:rFonts w:ascii="Georgia" w:hAnsi="Georgia"/>
        </w:rPr>
        <w:t>’</w:t>
      </w:r>
      <w:r>
        <w:rPr>
          <w:rFonts w:ascii="Georgia" w:hAnsi="Georgia"/>
        </w:rPr>
        <w:t xml:space="preserve">avaient </w:t>
      </w:r>
      <w:r w:rsidR="00EB57CE">
        <w:rPr>
          <w:rFonts w:ascii="Georgia" w:hAnsi="Georgia"/>
        </w:rPr>
        <w:t xml:space="preserve">aucun </w:t>
      </w:r>
      <w:r>
        <w:rPr>
          <w:rFonts w:ascii="Georgia" w:hAnsi="Georgia"/>
        </w:rPr>
        <w:t>programme pour cette maladie</w:t>
      </w:r>
      <w:r w:rsidR="00F16AB6">
        <w:rPr>
          <w:rFonts w:ascii="Georgia" w:hAnsi="Georgia"/>
        </w:rPr>
        <w:t xml:space="preserve">. </w:t>
      </w:r>
      <w:r>
        <w:rPr>
          <w:rFonts w:ascii="Georgia" w:hAnsi="Georgia"/>
        </w:rPr>
        <w:t>Bien que l</w:t>
      </w:r>
      <w:r w:rsidR="000D04EB">
        <w:rPr>
          <w:rFonts w:ascii="Georgia" w:hAnsi="Georgia"/>
        </w:rPr>
        <w:t>’</w:t>
      </w:r>
      <w:r>
        <w:rPr>
          <w:rFonts w:ascii="Georgia" w:hAnsi="Georgia"/>
        </w:rPr>
        <w:t xml:space="preserve">initiative </w:t>
      </w:r>
      <w:r w:rsidRPr="00167641">
        <w:rPr>
          <w:rFonts w:ascii="Georgia" w:hAnsi="Georgia"/>
          <w:bCs/>
        </w:rPr>
        <w:t>« Lever les obstacles »</w:t>
      </w:r>
      <w:r>
        <w:rPr>
          <w:rFonts w:ascii="Georgia" w:hAnsi="Georgia"/>
        </w:rPr>
        <w:t xml:space="preserve"> ait </w:t>
      </w:r>
      <w:r w:rsidR="005017CD">
        <w:rPr>
          <w:rFonts w:ascii="Georgia" w:hAnsi="Georgia"/>
        </w:rPr>
        <w:t xml:space="preserve">conduit à </w:t>
      </w:r>
      <w:r>
        <w:rPr>
          <w:rFonts w:ascii="Georgia" w:hAnsi="Georgia"/>
        </w:rPr>
        <w:t xml:space="preserve">une augmentation importante du financement de ces programmes, il reste à savoir si </w:t>
      </w:r>
      <w:r w:rsidR="00254AF1">
        <w:rPr>
          <w:rFonts w:ascii="Georgia" w:hAnsi="Georgia"/>
        </w:rPr>
        <w:t xml:space="preserve">les fonds </w:t>
      </w:r>
      <w:r>
        <w:rPr>
          <w:rFonts w:ascii="Georgia" w:hAnsi="Georgia"/>
        </w:rPr>
        <w:t>suffi</w:t>
      </w:r>
      <w:r w:rsidR="00254AF1">
        <w:rPr>
          <w:rFonts w:ascii="Georgia" w:hAnsi="Georgia"/>
        </w:rPr>
        <w:t>ront</w:t>
      </w:r>
      <w:r>
        <w:rPr>
          <w:rFonts w:ascii="Georgia" w:hAnsi="Georgia"/>
        </w:rPr>
        <w:t xml:space="preserve"> </w:t>
      </w:r>
      <w:r w:rsidR="00864BB3">
        <w:rPr>
          <w:rFonts w:ascii="Georgia" w:hAnsi="Georgia"/>
        </w:rPr>
        <w:t xml:space="preserve">au déploiement de </w:t>
      </w:r>
      <w:r>
        <w:rPr>
          <w:rFonts w:ascii="Georgia" w:hAnsi="Georgia"/>
        </w:rPr>
        <w:t>réponse</w:t>
      </w:r>
      <w:r w:rsidR="00254AF1">
        <w:rPr>
          <w:rFonts w:ascii="Georgia" w:hAnsi="Georgia"/>
        </w:rPr>
        <w:t>s</w:t>
      </w:r>
      <w:r>
        <w:rPr>
          <w:rFonts w:ascii="Georgia" w:hAnsi="Georgia"/>
        </w:rPr>
        <w:t xml:space="preserve"> globale</w:t>
      </w:r>
      <w:r w:rsidR="00254AF1">
        <w:rPr>
          <w:rFonts w:ascii="Georgia" w:hAnsi="Georgia"/>
        </w:rPr>
        <w:t>s</w:t>
      </w:r>
      <w:r>
        <w:rPr>
          <w:rFonts w:ascii="Georgia" w:hAnsi="Georgia"/>
        </w:rPr>
        <w:t xml:space="preserve"> aux obstacles</w:t>
      </w:r>
      <w:r w:rsidR="00AA0239">
        <w:rPr>
          <w:rFonts w:ascii="Georgia" w:hAnsi="Georgia"/>
        </w:rPr>
        <w:t xml:space="preserve"> à l’échelle nationale</w:t>
      </w:r>
      <w:r>
        <w:rPr>
          <w:rFonts w:ascii="Georgia" w:hAnsi="Georgia"/>
        </w:rPr>
        <w:t xml:space="preserve">. </w:t>
      </w:r>
    </w:p>
    <w:p w14:paraId="3D2E24CB" w14:textId="77777777" w:rsidR="002F2DD8" w:rsidRPr="002F2DD8" w:rsidRDefault="002F2DD8" w:rsidP="002F2DD8">
      <w:pPr>
        <w:pStyle w:val="NoSpacing"/>
        <w:rPr>
          <w:rFonts w:ascii="Georgia" w:hAnsi="Georgia" w:cstheme="minorHAnsi"/>
        </w:rPr>
      </w:pPr>
    </w:p>
    <w:p w14:paraId="2E4658B0" w14:textId="5CAF59E7" w:rsidR="002F2DD8" w:rsidRPr="0033724B" w:rsidRDefault="002F2DD8" w:rsidP="002F2DD8">
      <w:pPr>
        <w:pStyle w:val="NoSpacing"/>
        <w:rPr>
          <w:rFonts w:ascii="Georgia" w:hAnsi="Georgia" w:cstheme="majorHAnsi"/>
          <w:b/>
          <w:color w:val="4472C4" w:themeColor="accent1"/>
        </w:rPr>
      </w:pPr>
      <w:r>
        <w:rPr>
          <w:rFonts w:ascii="Georgia" w:hAnsi="Georgia"/>
          <w:b/>
          <w:color w:val="4472C4" w:themeColor="accent1"/>
        </w:rPr>
        <w:t>L’éventail de donateurs prêts à appuyer les programmes est restreint</w:t>
      </w:r>
      <w:r w:rsidR="00F16AB6">
        <w:rPr>
          <w:rFonts w:ascii="Georgia" w:hAnsi="Georgia"/>
          <w:b/>
          <w:color w:val="4472C4" w:themeColor="accent1"/>
        </w:rPr>
        <w:t xml:space="preserve">. </w:t>
      </w:r>
    </w:p>
    <w:p w14:paraId="5BC522B7" w14:textId="4C85ADC1" w:rsidR="002F2DD8" w:rsidRPr="002F2DD8" w:rsidRDefault="002F2DD8" w:rsidP="002F2DD8">
      <w:pPr>
        <w:pStyle w:val="NoSpacing"/>
        <w:rPr>
          <w:rFonts w:ascii="Georgia" w:hAnsi="Georgia" w:cstheme="minorHAnsi"/>
        </w:rPr>
      </w:pPr>
      <w:r>
        <w:rPr>
          <w:rFonts w:ascii="Georgia" w:hAnsi="Georgia"/>
        </w:rPr>
        <w:t>Dans de nombreux pays participant à l</w:t>
      </w:r>
      <w:r w:rsidR="000D04EB">
        <w:rPr>
          <w:rFonts w:ascii="Georgia" w:hAnsi="Georgia"/>
        </w:rPr>
        <w:t>’</w:t>
      </w:r>
      <w:r>
        <w:rPr>
          <w:rFonts w:ascii="Georgia" w:hAnsi="Georgia"/>
        </w:rPr>
        <w:t xml:space="preserve">initiative </w:t>
      </w:r>
      <w:r w:rsidRPr="00167641">
        <w:rPr>
          <w:rFonts w:ascii="Georgia" w:hAnsi="Georgia"/>
          <w:iCs/>
        </w:rPr>
        <w:t>« Lever les obstacles »</w:t>
      </w:r>
      <w:r>
        <w:rPr>
          <w:rFonts w:ascii="Georgia" w:hAnsi="Georgia"/>
        </w:rPr>
        <w:t>, le Fonds mondial, par le truchement de ses subventions, est le principal bailleur de fonds des programmes visant à réduire les obstacles liés aux droits humains qui entravent l’accès aux services de santé. Au cours du dernier cycle de financement, le Fonds mondial a intensifié son appui à ces programmes par le biais d’une aide financière supplémentaire sous la forme de fonds de contrepartie</w:t>
      </w:r>
      <w:r w:rsidR="00F16AB6">
        <w:rPr>
          <w:rFonts w:ascii="Georgia" w:hAnsi="Georgia"/>
        </w:rPr>
        <w:t xml:space="preserve">. </w:t>
      </w:r>
      <w:r>
        <w:rPr>
          <w:rFonts w:ascii="Georgia" w:hAnsi="Georgia"/>
        </w:rPr>
        <w:t>D</w:t>
      </w:r>
      <w:r w:rsidR="000D04EB">
        <w:rPr>
          <w:rFonts w:ascii="Georgia" w:hAnsi="Georgia"/>
        </w:rPr>
        <w:t>’</w:t>
      </w:r>
      <w:r>
        <w:rPr>
          <w:rFonts w:ascii="Georgia" w:hAnsi="Georgia"/>
        </w:rPr>
        <w:t xml:space="preserve">autres donateurs ont appuyé ces programmes, mais de manière insuffisante pour en arriver à une réponse globale aux obstacles liés aux droits humains à l’échelle nationale, concluent les évaluations. </w:t>
      </w:r>
      <w:r w:rsidR="00961349">
        <w:rPr>
          <w:rFonts w:ascii="Georgia" w:hAnsi="Georgia"/>
        </w:rPr>
        <w:t xml:space="preserve">Parmi les </w:t>
      </w:r>
      <w:r>
        <w:rPr>
          <w:rFonts w:ascii="Georgia" w:hAnsi="Georgia"/>
        </w:rPr>
        <w:t xml:space="preserve">donateurs </w:t>
      </w:r>
      <w:r w:rsidR="00961349">
        <w:rPr>
          <w:rFonts w:ascii="Georgia" w:hAnsi="Georgia"/>
        </w:rPr>
        <w:t xml:space="preserve">mentionnés </w:t>
      </w:r>
      <w:r>
        <w:rPr>
          <w:rFonts w:ascii="Georgia" w:hAnsi="Georgia"/>
        </w:rPr>
        <w:t>dans les évaluations de référence,</w:t>
      </w:r>
      <w:r w:rsidR="00961349">
        <w:rPr>
          <w:rFonts w:ascii="Georgia" w:hAnsi="Georgia"/>
        </w:rPr>
        <w:t xml:space="preserve"> on compte,</w:t>
      </w:r>
      <w:r>
        <w:rPr>
          <w:rFonts w:ascii="Georgia" w:hAnsi="Georgia"/>
        </w:rPr>
        <w:t xml:space="preserve"> outre le Fonds mondial, </w:t>
      </w:r>
      <w:r w:rsidR="00AE5DE5">
        <w:rPr>
          <w:rFonts w:ascii="Georgia" w:hAnsi="Georgia"/>
        </w:rPr>
        <w:t xml:space="preserve">des </w:t>
      </w:r>
      <w:r>
        <w:rPr>
          <w:rFonts w:ascii="Georgia" w:hAnsi="Georgia"/>
        </w:rPr>
        <w:t xml:space="preserve">agences des Nations Unies, </w:t>
      </w:r>
      <w:r w:rsidR="00AE5DE5">
        <w:rPr>
          <w:rFonts w:ascii="Georgia" w:hAnsi="Georgia"/>
        </w:rPr>
        <w:t xml:space="preserve">le </w:t>
      </w:r>
      <w:r>
        <w:rPr>
          <w:rFonts w:ascii="Georgia" w:hAnsi="Georgia"/>
        </w:rPr>
        <w:t xml:space="preserve">Partenariat Halte à la tuberculose, USAID et </w:t>
      </w:r>
      <w:r w:rsidR="00AE5DE5">
        <w:rPr>
          <w:rFonts w:ascii="Georgia" w:hAnsi="Georgia"/>
        </w:rPr>
        <w:t xml:space="preserve">le </w:t>
      </w:r>
      <w:r>
        <w:rPr>
          <w:rFonts w:ascii="Georgia" w:hAnsi="Georgia"/>
        </w:rPr>
        <w:t xml:space="preserve">PEPFAR (y compris le projet </w:t>
      </w:r>
      <w:r>
        <w:rPr>
          <w:rFonts w:ascii="Georgia" w:hAnsi="Georgia"/>
          <w:i/>
        </w:rPr>
        <w:t>Linkages</w:t>
      </w:r>
      <w:r w:rsidR="00377F5C">
        <w:rPr>
          <w:rFonts w:ascii="Georgia" w:hAnsi="Georgia"/>
        </w:rPr>
        <w:t xml:space="preserve">, </w:t>
      </w:r>
      <w:r>
        <w:rPr>
          <w:rFonts w:ascii="Georgia" w:hAnsi="Georgia"/>
        </w:rPr>
        <w:t xml:space="preserve">aujourd’hui achevé), </w:t>
      </w:r>
      <w:r w:rsidR="00377F5C">
        <w:rPr>
          <w:rFonts w:ascii="Georgia" w:hAnsi="Georgia"/>
        </w:rPr>
        <w:t xml:space="preserve">les </w:t>
      </w:r>
      <w:r>
        <w:rPr>
          <w:rFonts w:ascii="Georgia" w:hAnsi="Georgia"/>
        </w:rPr>
        <w:t>agences d’aide b</w:t>
      </w:r>
      <w:r w:rsidR="000D04EB">
        <w:rPr>
          <w:rFonts w:ascii="Georgia" w:hAnsi="Georgia"/>
        </w:rPr>
        <w:t>ilatérale</w:t>
      </w:r>
      <w:r>
        <w:rPr>
          <w:rFonts w:ascii="Georgia" w:hAnsi="Georgia"/>
        </w:rPr>
        <w:t xml:space="preserve"> de la France et de l’Allemagne, entre autres, </w:t>
      </w:r>
      <w:proofErr w:type="spellStart"/>
      <w:r>
        <w:rPr>
          <w:rFonts w:ascii="Georgia" w:hAnsi="Georgia"/>
        </w:rPr>
        <w:t>Frontline</w:t>
      </w:r>
      <w:proofErr w:type="spellEnd"/>
      <w:r>
        <w:rPr>
          <w:rFonts w:ascii="Georgia" w:hAnsi="Georgia"/>
        </w:rPr>
        <w:t xml:space="preserve"> AIDS, Open Society </w:t>
      </w:r>
      <w:proofErr w:type="spellStart"/>
      <w:r>
        <w:rPr>
          <w:rFonts w:ascii="Georgia" w:hAnsi="Georgia"/>
        </w:rPr>
        <w:t>Foundations</w:t>
      </w:r>
      <w:proofErr w:type="spellEnd"/>
      <w:r>
        <w:rPr>
          <w:rFonts w:ascii="Georgia" w:hAnsi="Georgia"/>
        </w:rPr>
        <w:t xml:space="preserve">, Mac AIDS, </w:t>
      </w:r>
      <w:proofErr w:type="spellStart"/>
      <w:r>
        <w:rPr>
          <w:rFonts w:ascii="Georgia" w:hAnsi="Georgia"/>
        </w:rPr>
        <w:t>Comic</w:t>
      </w:r>
      <w:proofErr w:type="spellEnd"/>
      <w:r>
        <w:rPr>
          <w:rFonts w:ascii="Georgia" w:hAnsi="Georgia"/>
        </w:rPr>
        <w:t xml:space="preserve"> Relief, the Elton John Foundation et plusieurs autres donateurs de tous horizons appuyant des programmes pour les adolescentes et les jeunes femmes</w:t>
      </w:r>
      <w:r w:rsidR="00F16AB6">
        <w:rPr>
          <w:rFonts w:ascii="Georgia" w:hAnsi="Georgia"/>
        </w:rPr>
        <w:t xml:space="preserve">. </w:t>
      </w:r>
      <w:r>
        <w:rPr>
          <w:rFonts w:ascii="Georgia" w:hAnsi="Georgia"/>
        </w:rPr>
        <w:t xml:space="preserve">Les listes de donateurs compilées dans les évaluations de référence </w:t>
      </w:r>
      <w:r w:rsidR="00F938D5">
        <w:rPr>
          <w:rFonts w:ascii="Georgia" w:hAnsi="Georgia"/>
        </w:rPr>
        <w:t xml:space="preserve">peuvent servir à </w:t>
      </w:r>
      <w:r>
        <w:rPr>
          <w:rFonts w:ascii="Georgia" w:hAnsi="Georgia"/>
        </w:rPr>
        <w:t xml:space="preserve">inviter </w:t>
      </w:r>
      <w:r w:rsidR="00181EFD">
        <w:rPr>
          <w:rFonts w:ascii="Georgia" w:hAnsi="Georgia"/>
        </w:rPr>
        <w:t xml:space="preserve">les donateurs </w:t>
      </w:r>
      <w:r w:rsidR="00AD3600">
        <w:rPr>
          <w:rFonts w:ascii="Georgia" w:hAnsi="Georgia"/>
        </w:rPr>
        <w:t xml:space="preserve">à </w:t>
      </w:r>
      <w:r>
        <w:rPr>
          <w:rFonts w:ascii="Georgia" w:hAnsi="Georgia"/>
        </w:rPr>
        <w:t>appuy</w:t>
      </w:r>
      <w:r w:rsidR="00F2740E">
        <w:rPr>
          <w:rFonts w:ascii="Georgia" w:hAnsi="Georgia"/>
        </w:rPr>
        <w:t>er</w:t>
      </w:r>
      <w:r>
        <w:rPr>
          <w:rFonts w:ascii="Georgia" w:hAnsi="Georgia"/>
        </w:rPr>
        <w:t xml:space="preserve"> </w:t>
      </w:r>
      <w:r w:rsidR="00D938E8">
        <w:rPr>
          <w:rFonts w:ascii="Georgia" w:hAnsi="Georgia"/>
        </w:rPr>
        <w:t xml:space="preserve">la </w:t>
      </w:r>
      <w:r>
        <w:rPr>
          <w:rFonts w:ascii="Georgia" w:hAnsi="Georgia"/>
        </w:rPr>
        <w:t xml:space="preserve">mise à </w:t>
      </w:r>
      <w:r w:rsidR="00D938E8">
        <w:rPr>
          <w:rFonts w:ascii="Georgia" w:hAnsi="Georgia"/>
        </w:rPr>
        <w:t xml:space="preserve">une </w:t>
      </w:r>
      <w:r>
        <w:rPr>
          <w:rFonts w:ascii="Georgia" w:hAnsi="Georgia"/>
        </w:rPr>
        <w:t xml:space="preserve">échelle conséquente </w:t>
      </w:r>
      <w:r w:rsidR="00F2740E">
        <w:rPr>
          <w:rFonts w:ascii="Georgia" w:hAnsi="Georgia"/>
        </w:rPr>
        <w:t xml:space="preserve">de </w:t>
      </w:r>
      <w:r>
        <w:rPr>
          <w:rFonts w:ascii="Georgia" w:hAnsi="Georgia"/>
        </w:rPr>
        <w:t xml:space="preserve">programmes </w:t>
      </w:r>
      <w:r w:rsidR="00F2740E">
        <w:rPr>
          <w:rFonts w:ascii="Georgia" w:hAnsi="Georgia"/>
        </w:rPr>
        <w:t>de droits humains qu’ils ont déjà appuyés dans le passé</w:t>
      </w:r>
      <w:r>
        <w:rPr>
          <w:rFonts w:ascii="Georgia" w:hAnsi="Georgia"/>
        </w:rPr>
        <w:t>.</w:t>
      </w:r>
    </w:p>
    <w:p w14:paraId="34D1AAF6" w14:textId="77777777" w:rsidR="002F2DD8" w:rsidRDefault="002F2DD8" w:rsidP="0033724B">
      <w:pPr>
        <w:pStyle w:val="NoSpacing"/>
        <w:rPr>
          <w:rFonts w:ascii="Georgia" w:hAnsi="Georgia"/>
          <w:sz w:val="24"/>
          <w:szCs w:val="24"/>
        </w:rPr>
      </w:pPr>
    </w:p>
    <w:p w14:paraId="6A986918" w14:textId="77777777" w:rsidR="0033724B" w:rsidRDefault="0033724B" w:rsidP="0033724B">
      <w:pPr>
        <w:pStyle w:val="NoSpacing"/>
        <w:rPr>
          <w:rFonts w:ascii="Georgia" w:hAnsi="Georgia"/>
          <w:sz w:val="24"/>
          <w:szCs w:val="24"/>
        </w:rPr>
      </w:pPr>
    </w:p>
    <w:p w14:paraId="7404B3BA" w14:textId="588743B0" w:rsidR="002F2DD8" w:rsidRPr="0033724B" w:rsidRDefault="002F2DD8" w:rsidP="000C3D34">
      <w:pPr>
        <w:pStyle w:val="Heading1"/>
        <w:rPr>
          <w:rFonts w:ascii="Georgia" w:eastAsiaTheme="minorHAnsi" w:hAnsi="Georgia" w:cstheme="minorBidi"/>
          <w:b/>
          <w:color w:val="auto"/>
          <w:sz w:val="24"/>
          <w:szCs w:val="24"/>
        </w:rPr>
      </w:pPr>
      <w:bookmarkStart w:id="7" w:name="_Toc63885358"/>
      <w:r>
        <w:rPr>
          <w:rFonts w:ascii="Georgia" w:hAnsi="Georgia"/>
          <w:b/>
          <w:color w:val="auto"/>
          <w:sz w:val="24"/>
        </w:rPr>
        <w:lastRenderedPageBreak/>
        <w:t>Résultats par domaine programmatique</w:t>
      </w:r>
      <w:bookmarkEnd w:id="7"/>
    </w:p>
    <w:p w14:paraId="736FE9FE" w14:textId="77777777" w:rsidR="002F2DD8" w:rsidRPr="002F2DD8" w:rsidRDefault="002F2DD8" w:rsidP="000C3D34">
      <w:pPr>
        <w:pStyle w:val="NoSpacing"/>
        <w:keepNext/>
        <w:keepLines/>
        <w:rPr>
          <w:rFonts w:ascii="Georgia" w:hAnsi="Georgia" w:cstheme="minorHAnsi"/>
          <w:sz w:val="24"/>
          <w:szCs w:val="24"/>
        </w:rPr>
      </w:pPr>
    </w:p>
    <w:p w14:paraId="2770A631" w14:textId="2884DD35" w:rsidR="002F2DD8" w:rsidRPr="002F2DD8" w:rsidRDefault="002F2DD8" w:rsidP="000C3D34">
      <w:pPr>
        <w:pStyle w:val="NoSpacing"/>
        <w:keepNext/>
        <w:keepLines/>
        <w:rPr>
          <w:rFonts w:ascii="Georgia" w:hAnsi="Georgia" w:cstheme="minorHAnsi"/>
        </w:rPr>
      </w:pPr>
      <w:r>
        <w:rPr>
          <w:rFonts w:ascii="Georgia" w:hAnsi="Georgia"/>
        </w:rPr>
        <w:t xml:space="preserve">En plus des thèmes communs décrits ci-dessus, les évaluations de référence </w:t>
      </w:r>
      <w:r w:rsidR="00430265">
        <w:rPr>
          <w:rFonts w:ascii="Georgia" w:hAnsi="Georgia"/>
        </w:rPr>
        <w:t>f</w:t>
      </w:r>
      <w:r>
        <w:rPr>
          <w:rFonts w:ascii="Georgia" w:hAnsi="Georgia"/>
        </w:rPr>
        <w:t>ont un certain nombre d</w:t>
      </w:r>
      <w:r w:rsidR="000D04EB">
        <w:rPr>
          <w:rFonts w:ascii="Georgia" w:hAnsi="Georgia"/>
        </w:rPr>
        <w:t>’</w:t>
      </w:r>
      <w:r>
        <w:rPr>
          <w:rFonts w:ascii="Georgia" w:hAnsi="Georgia"/>
        </w:rPr>
        <w:t>observations sur des domaines programmatiques particuliers, décrites dans les prochaines sections.</w:t>
      </w:r>
    </w:p>
    <w:p w14:paraId="27A47574" w14:textId="77777777" w:rsidR="002F2DD8" w:rsidRPr="002F2DD8" w:rsidRDefault="002F2DD8" w:rsidP="002F2DD8">
      <w:pPr>
        <w:pStyle w:val="NoSpacing"/>
        <w:rPr>
          <w:rFonts w:ascii="Georgia" w:hAnsi="Georgia" w:cstheme="minorHAnsi"/>
        </w:rPr>
      </w:pPr>
    </w:p>
    <w:p w14:paraId="6B3A99D6" w14:textId="4B21B2D2" w:rsidR="002F2DD8" w:rsidRPr="0033724B" w:rsidRDefault="002F2DD8" w:rsidP="002F2DD8">
      <w:pPr>
        <w:pStyle w:val="NoSpacing"/>
        <w:rPr>
          <w:rFonts w:ascii="Georgia" w:hAnsi="Georgia" w:cstheme="minorHAnsi"/>
          <w:b/>
          <w:color w:val="4472C4" w:themeColor="accent1"/>
        </w:rPr>
      </w:pPr>
      <w:r>
        <w:rPr>
          <w:rFonts w:ascii="Georgia" w:hAnsi="Georgia"/>
          <w:b/>
          <w:color w:val="4472C4" w:themeColor="accent1"/>
        </w:rPr>
        <w:t>Les activités ponctuelles ne suffisent pas à instaurer un changement durable ou à créer des cadres d</w:t>
      </w:r>
      <w:r w:rsidR="000D04EB">
        <w:rPr>
          <w:rFonts w:ascii="Georgia" w:hAnsi="Georgia"/>
          <w:b/>
          <w:color w:val="4472C4" w:themeColor="accent1"/>
        </w:rPr>
        <w:t>’</w:t>
      </w:r>
      <w:r>
        <w:rPr>
          <w:rFonts w:ascii="Georgia" w:hAnsi="Georgia"/>
          <w:b/>
          <w:color w:val="4472C4" w:themeColor="accent1"/>
        </w:rPr>
        <w:t>expertise locaux</w:t>
      </w:r>
      <w:r w:rsidR="00F16AB6">
        <w:rPr>
          <w:rFonts w:ascii="Georgia" w:hAnsi="Georgia"/>
          <w:b/>
          <w:color w:val="4472C4" w:themeColor="accent1"/>
        </w:rPr>
        <w:t xml:space="preserve">. </w:t>
      </w:r>
    </w:p>
    <w:p w14:paraId="422C9782" w14:textId="050122CE" w:rsidR="002F2DD8" w:rsidRPr="002F2DD8" w:rsidRDefault="002F2DD8" w:rsidP="002F2DD8">
      <w:pPr>
        <w:pStyle w:val="NoSpacing"/>
        <w:rPr>
          <w:rFonts w:ascii="Georgia" w:hAnsi="Georgia" w:cstheme="minorHAnsi"/>
        </w:rPr>
      </w:pPr>
      <w:r>
        <w:rPr>
          <w:rFonts w:ascii="Georgia" w:hAnsi="Georgia"/>
        </w:rPr>
        <w:t xml:space="preserve">Nombre des évaluations ont relevé </w:t>
      </w:r>
      <w:r w:rsidR="000A2B44">
        <w:rPr>
          <w:rFonts w:ascii="Georgia" w:hAnsi="Georgia"/>
        </w:rPr>
        <w:t xml:space="preserve">l’existence </w:t>
      </w:r>
      <w:r>
        <w:rPr>
          <w:rFonts w:ascii="Georgia" w:hAnsi="Georgia"/>
        </w:rPr>
        <w:t>de plusieurs activités ponctuelles de sensibilisation</w:t>
      </w:r>
      <w:r w:rsidR="00FD3099">
        <w:rPr>
          <w:rFonts w:ascii="Georgia" w:hAnsi="Georgia"/>
        </w:rPr>
        <w:t>,</w:t>
      </w:r>
      <w:r>
        <w:rPr>
          <w:rFonts w:ascii="Georgia" w:hAnsi="Georgia"/>
        </w:rPr>
        <w:t xml:space="preserve"> à l</w:t>
      </w:r>
      <w:r w:rsidR="000D04EB">
        <w:rPr>
          <w:rFonts w:ascii="Georgia" w:hAnsi="Georgia"/>
        </w:rPr>
        <w:t>’</w:t>
      </w:r>
      <w:r>
        <w:rPr>
          <w:rFonts w:ascii="Georgia" w:hAnsi="Georgia"/>
        </w:rPr>
        <w:t>intention des travailleurs de la santé, des agents de police et correctionnels et d</w:t>
      </w:r>
      <w:r w:rsidR="000D04EB">
        <w:rPr>
          <w:rFonts w:ascii="Georgia" w:hAnsi="Georgia"/>
        </w:rPr>
        <w:t>’</w:t>
      </w:r>
      <w:r>
        <w:rPr>
          <w:rFonts w:ascii="Georgia" w:hAnsi="Georgia"/>
        </w:rPr>
        <w:t>autres fournisseurs de services</w:t>
      </w:r>
      <w:r w:rsidR="00D110E6">
        <w:rPr>
          <w:rFonts w:ascii="Georgia" w:hAnsi="Georgia"/>
        </w:rPr>
        <w:t xml:space="preserve">, </w:t>
      </w:r>
      <w:r>
        <w:rPr>
          <w:rFonts w:ascii="Georgia" w:hAnsi="Georgia"/>
        </w:rPr>
        <w:t>sur l’importance du respect des droits humains et de l’éthique dans leur pratique professionnelle</w:t>
      </w:r>
      <w:r w:rsidR="001A6DEB">
        <w:rPr>
          <w:rFonts w:ascii="Georgia" w:hAnsi="Georgia"/>
        </w:rPr>
        <w:t>.</w:t>
      </w:r>
      <w:r>
        <w:rPr>
          <w:rFonts w:ascii="Georgia" w:hAnsi="Georgia"/>
        </w:rPr>
        <w:t xml:space="preserve"> </w:t>
      </w:r>
      <w:r w:rsidR="001A6DEB">
        <w:rPr>
          <w:rFonts w:ascii="Georgia" w:hAnsi="Georgia"/>
        </w:rPr>
        <w:t xml:space="preserve">Toutefois, </w:t>
      </w:r>
      <w:r>
        <w:rPr>
          <w:rFonts w:ascii="Georgia" w:hAnsi="Georgia"/>
        </w:rPr>
        <w:t>les populations clés et d</w:t>
      </w:r>
      <w:r w:rsidR="000D04EB">
        <w:rPr>
          <w:rFonts w:ascii="Georgia" w:hAnsi="Georgia"/>
        </w:rPr>
        <w:t>’</w:t>
      </w:r>
      <w:r>
        <w:rPr>
          <w:rFonts w:ascii="Georgia" w:hAnsi="Georgia"/>
        </w:rPr>
        <w:t xml:space="preserve">autres intervenants estiment que ces activités, à elles seules, ne </w:t>
      </w:r>
      <w:r w:rsidR="003F7C96">
        <w:rPr>
          <w:rFonts w:ascii="Georgia" w:hAnsi="Georgia"/>
        </w:rPr>
        <w:t xml:space="preserve">suffisent </w:t>
      </w:r>
      <w:r>
        <w:rPr>
          <w:rFonts w:ascii="Georgia" w:hAnsi="Georgia"/>
        </w:rPr>
        <w:t xml:space="preserve">pas </w:t>
      </w:r>
      <w:r w:rsidR="003F7C96">
        <w:rPr>
          <w:rFonts w:ascii="Georgia" w:hAnsi="Georgia"/>
        </w:rPr>
        <w:t xml:space="preserve">à </w:t>
      </w:r>
      <w:r>
        <w:rPr>
          <w:rFonts w:ascii="Georgia" w:hAnsi="Georgia"/>
        </w:rPr>
        <w:t>changer les attitudes et les pratiques</w:t>
      </w:r>
      <w:r w:rsidR="00F16AB6">
        <w:rPr>
          <w:rFonts w:ascii="Georgia" w:hAnsi="Georgia"/>
        </w:rPr>
        <w:t xml:space="preserve">. </w:t>
      </w:r>
      <w:r>
        <w:rPr>
          <w:rFonts w:ascii="Georgia" w:hAnsi="Georgia"/>
        </w:rPr>
        <w:t>D</w:t>
      </w:r>
      <w:r w:rsidR="000D04EB">
        <w:rPr>
          <w:rFonts w:ascii="Georgia" w:hAnsi="Georgia"/>
        </w:rPr>
        <w:t>’</w:t>
      </w:r>
      <w:r>
        <w:rPr>
          <w:rFonts w:ascii="Georgia" w:hAnsi="Georgia"/>
        </w:rPr>
        <w:t>autres évaluations de référence ont rapporté l</w:t>
      </w:r>
      <w:r w:rsidR="000D04EB">
        <w:rPr>
          <w:rFonts w:ascii="Georgia" w:hAnsi="Georgia"/>
        </w:rPr>
        <w:t>’</w:t>
      </w:r>
      <w:r>
        <w:rPr>
          <w:rFonts w:ascii="Georgia" w:hAnsi="Georgia"/>
        </w:rPr>
        <w:t>élaboration, l</w:t>
      </w:r>
      <w:r w:rsidR="000D04EB">
        <w:rPr>
          <w:rFonts w:ascii="Georgia" w:hAnsi="Georgia"/>
        </w:rPr>
        <w:t>’</w:t>
      </w:r>
      <w:r>
        <w:rPr>
          <w:rFonts w:ascii="Georgia" w:hAnsi="Georgia"/>
        </w:rPr>
        <w:t>impression et la distribution de documents sur les droits humains sans effet notable. La majorité des évaluations recommandent</w:t>
      </w:r>
      <w:r w:rsidR="00A344DA">
        <w:rPr>
          <w:rFonts w:ascii="Georgia" w:hAnsi="Georgia"/>
        </w:rPr>
        <w:t xml:space="preserve">, en plus d’une formation régulière en cours d’emploi, </w:t>
      </w:r>
      <w:r>
        <w:rPr>
          <w:rFonts w:ascii="Georgia" w:hAnsi="Georgia"/>
        </w:rPr>
        <w:t xml:space="preserve">une formation préalable à l’embauche sur les droits humains dans </w:t>
      </w:r>
      <w:r w:rsidR="00583529">
        <w:rPr>
          <w:rFonts w:ascii="Georgia" w:hAnsi="Georgia"/>
        </w:rPr>
        <w:t xml:space="preserve">les </w:t>
      </w:r>
      <w:r>
        <w:rPr>
          <w:rFonts w:ascii="Georgia" w:hAnsi="Georgia"/>
        </w:rPr>
        <w:t>programmes des écoles de médecine et de soins infirmiers, des écoles de formation d</w:t>
      </w:r>
      <w:r w:rsidR="000D04EB">
        <w:rPr>
          <w:rFonts w:ascii="Georgia" w:hAnsi="Georgia"/>
        </w:rPr>
        <w:t>’</w:t>
      </w:r>
      <w:r>
        <w:rPr>
          <w:rFonts w:ascii="Georgia" w:hAnsi="Georgia"/>
        </w:rPr>
        <w:t>autres professionnels de la santé, des académies de police et d</w:t>
      </w:r>
      <w:r w:rsidR="000D04EB">
        <w:rPr>
          <w:rFonts w:ascii="Georgia" w:hAnsi="Georgia"/>
        </w:rPr>
        <w:t>’</w:t>
      </w:r>
      <w:r>
        <w:rPr>
          <w:rFonts w:ascii="Georgia" w:hAnsi="Georgia"/>
        </w:rPr>
        <w:t>autres institutions de ce type</w:t>
      </w:r>
      <w:r w:rsidR="00F16AB6">
        <w:rPr>
          <w:rFonts w:ascii="Georgia" w:hAnsi="Georgia"/>
        </w:rPr>
        <w:t xml:space="preserve">. </w:t>
      </w:r>
      <w:r w:rsidR="00B7403D">
        <w:rPr>
          <w:rFonts w:ascii="Georgia" w:hAnsi="Georgia"/>
        </w:rPr>
        <w:t xml:space="preserve">On </w:t>
      </w:r>
      <w:r>
        <w:rPr>
          <w:rFonts w:ascii="Georgia" w:hAnsi="Georgia"/>
        </w:rPr>
        <w:t>propose d’autres pistes de solution pour accroître l’impact de la formation : sondage</w:t>
      </w:r>
      <w:r w:rsidR="000D04EB">
        <w:rPr>
          <w:rFonts w:ascii="Georgia" w:hAnsi="Georgia"/>
        </w:rPr>
        <w:t>s</w:t>
      </w:r>
      <w:r>
        <w:rPr>
          <w:rFonts w:ascii="Georgia" w:hAnsi="Georgia"/>
        </w:rPr>
        <w:t xml:space="preserve"> récurrents sur les connaissances, l</w:t>
      </w:r>
      <w:r w:rsidR="000D04EB">
        <w:rPr>
          <w:rFonts w:ascii="Georgia" w:hAnsi="Georgia"/>
        </w:rPr>
        <w:t>’</w:t>
      </w:r>
      <w:r>
        <w:rPr>
          <w:rFonts w:ascii="Georgia" w:hAnsi="Georgia"/>
        </w:rPr>
        <w:t>attitude et les pratiques des policiers et des travailleurs de la santé ; élaboration de normes professionnelles et de procédures de plaintes ; surveillance de certaines pratiques des prestataires de services dans le cadre de l</w:t>
      </w:r>
      <w:r w:rsidR="000D04EB">
        <w:rPr>
          <w:rFonts w:ascii="Georgia" w:hAnsi="Georgia"/>
        </w:rPr>
        <w:t>’</w:t>
      </w:r>
      <w:r>
        <w:rPr>
          <w:rFonts w:ascii="Georgia" w:hAnsi="Georgia"/>
        </w:rPr>
        <w:t xml:space="preserve">évaluation du rendement ; plaidoyer et émulation </w:t>
      </w:r>
      <w:r w:rsidR="00BC5451">
        <w:rPr>
          <w:rFonts w:ascii="Georgia" w:hAnsi="Georgia"/>
        </w:rPr>
        <w:t xml:space="preserve">en faveur de pratiques respectueuses venant </w:t>
      </w:r>
      <w:r>
        <w:rPr>
          <w:rFonts w:ascii="Georgia" w:hAnsi="Georgia"/>
        </w:rPr>
        <w:t xml:space="preserve">des personnes haut placées et des cadres dans les professions de services ; </w:t>
      </w:r>
      <w:r w:rsidR="00BC1219">
        <w:rPr>
          <w:rFonts w:ascii="Georgia" w:hAnsi="Georgia"/>
        </w:rPr>
        <w:t xml:space="preserve">et </w:t>
      </w:r>
      <w:r>
        <w:rPr>
          <w:rFonts w:ascii="Georgia" w:hAnsi="Georgia"/>
        </w:rPr>
        <w:t>surveillance communautaire de la prestation des services</w:t>
      </w:r>
      <w:r w:rsidR="00F16AB6">
        <w:rPr>
          <w:rFonts w:ascii="Georgia" w:hAnsi="Georgia"/>
        </w:rPr>
        <w:t xml:space="preserve">. </w:t>
      </w:r>
      <w:r>
        <w:rPr>
          <w:rFonts w:ascii="Georgia" w:hAnsi="Georgia"/>
        </w:rPr>
        <w:t>Les auteurs de l’évaluation de l</w:t>
      </w:r>
      <w:r w:rsidR="000D04EB">
        <w:rPr>
          <w:rFonts w:ascii="Georgia" w:hAnsi="Georgia"/>
        </w:rPr>
        <w:t>’</w:t>
      </w:r>
      <w:r>
        <w:rPr>
          <w:rFonts w:ascii="Georgia" w:hAnsi="Georgia"/>
        </w:rPr>
        <w:t>Afrique du Sud soulignent l</w:t>
      </w:r>
      <w:r w:rsidR="000D04EB">
        <w:rPr>
          <w:rFonts w:ascii="Georgia" w:hAnsi="Georgia"/>
        </w:rPr>
        <w:t>’</w:t>
      </w:r>
      <w:r>
        <w:rPr>
          <w:rFonts w:ascii="Georgia" w:hAnsi="Georgia"/>
        </w:rPr>
        <w:t>importance, pour la riposte nationale au VIH, de l</w:t>
      </w:r>
      <w:r w:rsidR="000D04EB">
        <w:rPr>
          <w:rFonts w:ascii="Georgia" w:hAnsi="Georgia"/>
        </w:rPr>
        <w:t>’</w:t>
      </w:r>
      <w:r>
        <w:rPr>
          <w:rFonts w:ascii="Georgia" w:hAnsi="Georgia"/>
        </w:rPr>
        <w:t>achèvement et de l</w:t>
      </w:r>
      <w:r w:rsidR="000D04EB">
        <w:rPr>
          <w:rFonts w:ascii="Georgia" w:hAnsi="Georgia"/>
        </w:rPr>
        <w:t>’</w:t>
      </w:r>
      <w:r>
        <w:rPr>
          <w:rFonts w:ascii="Georgia" w:hAnsi="Georgia"/>
        </w:rPr>
        <w:t>application d</w:t>
      </w:r>
      <w:r w:rsidR="000D04EB">
        <w:rPr>
          <w:rFonts w:ascii="Georgia" w:hAnsi="Georgia"/>
        </w:rPr>
        <w:t>’</w:t>
      </w:r>
      <w:r>
        <w:rPr>
          <w:rFonts w:ascii="Georgia" w:hAnsi="Georgia"/>
        </w:rPr>
        <w:t>un code de déontologie</w:t>
      </w:r>
      <w:r w:rsidR="00661C67">
        <w:rPr>
          <w:rFonts w:ascii="Georgia" w:hAnsi="Georgia"/>
        </w:rPr>
        <w:t xml:space="preserve"> </w:t>
      </w:r>
      <w:r>
        <w:rPr>
          <w:rFonts w:ascii="Georgia" w:hAnsi="Georgia"/>
        </w:rPr>
        <w:t xml:space="preserve">pour </w:t>
      </w:r>
      <w:r w:rsidR="00661C67">
        <w:rPr>
          <w:rFonts w:ascii="Georgia" w:hAnsi="Georgia"/>
        </w:rPr>
        <w:t xml:space="preserve">un </w:t>
      </w:r>
      <w:r>
        <w:rPr>
          <w:rFonts w:ascii="Georgia" w:hAnsi="Georgia"/>
        </w:rPr>
        <w:t>maintien de l</w:t>
      </w:r>
      <w:r w:rsidR="000D04EB">
        <w:rPr>
          <w:rFonts w:ascii="Georgia" w:hAnsi="Georgia"/>
        </w:rPr>
        <w:t>’</w:t>
      </w:r>
      <w:r>
        <w:rPr>
          <w:rFonts w:ascii="Georgia" w:hAnsi="Georgia"/>
        </w:rPr>
        <w:t>ordre</w:t>
      </w:r>
      <w:r w:rsidR="00661C67">
        <w:rPr>
          <w:rFonts w:ascii="Georgia" w:hAnsi="Georgia"/>
        </w:rPr>
        <w:t xml:space="preserve"> « fondé sur des normes internationales »</w:t>
      </w:r>
      <w:r>
        <w:rPr>
          <w:rFonts w:ascii="Georgia" w:hAnsi="Georgia"/>
        </w:rPr>
        <w:t>.</w:t>
      </w:r>
    </w:p>
    <w:p w14:paraId="43BD3E4D" w14:textId="77777777" w:rsidR="002F2DD8" w:rsidRPr="002F2DD8" w:rsidRDefault="002F2DD8" w:rsidP="002F2DD8">
      <w:pPr>
        <w:pStyle w:val="NoSpacing"/>
        <w:rPr>
          <w:rFonts w:ascii="Georgia" w:hAnsi="Georgia" w:cstheme="minorHAnsi"/>
        </w:rPr>
      </w:pPr>
    </w:p>
    <w:p w14:paraId="4E0BF546" w14:textId="709EB981" w:rsidR="002F2DD8" w:rsidRPr="002F2DD8" w:rsidRDefault="002F2DD8" w:rsidP="002F2DD8">
      <w:pPr>
        <w:pStyle w:val="NoSpacing"/>
        <w:rPr>
          <w:rFonts w:ascii="Georgia" w:hAnsi="Georgia" w:cstheme="minorHAnsi"/>
        </w:rPr>
      </w:pPr>
      <w:r>
        <w:rPr>
          <w:rFonts w:ascii="Georgia" w:hAnsi="Georgia"/>
        </w:rPr>
        <w:t>Les évaluations de référence soulignent que, outre la formation adéquate des professionnels en prestation de services fondée sur les droits, la formation, la gestion et la rémunération de pairs éducateurs en matière de droits humains, de parajuristes et de surveillants communautaires seraient un grand pas vers la création de cadres d’expertise locale porteurs de changement</w:t>
      </w:r>
      <w:r w:rsidR="00F16AB6">
        <w:rPr>
          <w:rFonts w:ascii="Georgia" w:hAnsi="Georgia"/>
        </w:rPr>
        <w:t xml:space="preserve">. </w:t>
      </w:r>
    </w:p>
    <w:p w14:paraId="3BCD6E73" w14:textId="77777777" w:rsidR="002F2DD8" w:rsidRPr="002F2DD8" w:rsidRDefault="002F2DD8" w:rsidP="002F2DD8">
      <w:pPr>
        <w:pStyle w:val="NoSpacing"/>
        <w:rPr>
          <w:rFonts w:ascii="Georgia" w:hAnsi="Georgia" w:cstheme="minorHAnsi"/>
        </w:rPr>
      </w:pPr>
    </w:p>
    <w:p w14:paraId="5312FA75" w14:textId="0A651766" w:rsidR="002F2DD8" w:rsidRPr="002F2DD8" w:rsidRDefault="002F2DD8" w:rsidP="002F2DD8">
      <w:pPr>
        <w:pStyle w:val="NoSpacing"/>
        <w:rPr>
          <w:rFonts w:ascii="Georgia" w:hAnsi="Georgia" w:cstheme="minorHAnsi"/>
        </w:rPr>
      </w:pPr>
      <w:r>
        <w:rPr>
          <w:rFonts w:ascii="Georgia" w:hAnsi="Georgia"/>
          <w:b/>
          <w:color w:val="4472C4" w:themeColor="accent1"/>
        </w:rPr>
        <w:t>Les obstacles dans les prisons et autres milieux fermés sont négligés</w:t>
      </w:r>
      <w:r w:rsidR="00F16AB6">
        <w:rPr>
          <w:rFonts w:ascii="Georgia" w:hAnsi="Georgia"/>
          <w:color w:val="4472C4" w:themeColor="accent1"/>
        </w:rPr>
        <w:t xml:space="preserve">. </w:t>
      </w:r>
    </w:p>
    <w:p w14:paraId="1A1F3BB0" w14:textId="5C50D6E1" w:rsidR="002F2DD8" w:rsidRPr="002F2DD8" w:rsidRDefault="002F2DD8" w:rsidP="002F2DD8">
      <w:pPr>
        <w:pStyle w:val="NoSpacing"/>
        <w:rPr>
          <w:rFonts w:ascii="Georgia" w:hAnsi="Georgia" w:cstheme="minorHAnsi"/>
        </w:rPr>
      </w:pPr>
      <w:r>
        <w:rPr>
          <w:rFonts w:ascii="Georgia" w:hAnsi="Georgia"/>
        </w:rPr>
        <w:t xml:space="preserve">Les évaluations de référence ont mis en évidence, peut-être plus </w:t>
      </w:r>
      <w:r w:rsidR="006254CC">
        <w:rPr>
          <w:rFonts w:ascii="Georgia" w:hAnsi="Georgia"/>
        </w:rPr>
        <w:t xml:space="preserve">encore </w:t>
      </w:r>
      <w:r>
        <w:rPr>
          <w:rFonts w:ascii="Georgia" w:hAnsi="Georgia"/>
        </w:rPr>
        <w:t xml:space="preserve">que les évaluations </w:t>
      </w:r>
      <w:r w:rsidR="006254CC">
        <w:rPr>
          <w:rFonts w:ascii="Georgia" w:hAnsi="Georgia"/>
        </w:rPr>
        <w:t>antérieures</w:t>
      </w:r>
      <w:r>
        <w:rPr>
          <w:rFonts w:ascii="Georgia" w:hAnsi="Georgia"/>
        </w:rPr>
        <w:t>, l</w:t>
      </w:r>
      <w:r w:rsidR="000D04EB">
        <w:rPr>
          <w:rFonts w:ascii="Georgia" w:hAnsi="Georgia"/>
        </w:rPr>
        <w:t>’</w:t>
      </w:r>
      <w:r>
        <w:rPr>
          <w:rFonts w:ascii="Georgia" w:hAnsi="Georgia"/>
        </w:rPr>
        <w:t xml:space="preserve">insuffisance criante et la mauvaise qualité des services de lutte contre le VIH et la tuberculose dans les prisons, </w:t>
      </w:r>
      <w:r w:rsidR="001B6B9F">
        <w:rPr>
          <w:rFonts w:ascii="Georgia" w:hAnsi="Georgia"/>
        </w:rPr>
        <w:t xml:space="preserve">les lieux de </w:t>
      </w:r>
      <w:r>
        <w:rPr>
          <w:rFonts w:ascii="Georgia" w:hAnsi="Georgia"/>
        </w:rPr>
        <w:t>détention préalable au procès</w:t>
      </w:r>
      <w:r w:rsidR="001B6B9F">
        <w:rPr>
          <w:rFonts w:ascii="Georgia" w:hAnsi="Georgia"/>
        </w:rPr>
        <w:t xml:space="preserve"> et de </w:t>
      </w:r>
      <w:r>
        <w:rPr>
          <w:rFonts w:ascii="Georgia" w:hAnsi="Georgia"/>
        </w:rPr>
        <w:t xml:space="preserve">garde à vue et </w:t>
      </w:r>
      <w:r w:rsidR="001B6B9F">
        <w:rPr>
          <w:rFonts w:ascii="Georgia" w:hAnsi="Georgia"/>
        </w:rPr>
        <w:t>d’</w:t>
      </w:r>
      <w:r>
        <w:rPr>
          <w:rFonts w:ascii="Georgia" w:hAnsi="Georgia"/>
        </w:rPr>
        <w:t>autres milieux fermés</w:t>
      </w:r>
      <w:r w:rsidR="00F16AB6">
        <w:rPr>
          <w:rFonts w:ascii="Georgia" w:hAnsi="Georgia"/>
        </w:rPr>
        <w:t xml:space="preserve">. </w:t>
      </w:r>
      <w:r>
        <w:rPr>
          <w:rFonts w:ascii="Georgia" w:hAnsi="Georgia"/>
        </w:rPr>
        <w:t>Plusieurs évaluations, notamment celles de l</w:t>
      </w:r>
      <w:r w:rsidR="000D04EB">
        <w:rPr>
          <w:rFonts w:ascii="Georgia" w:hAnsi="Georgia"/>
        </w:rPr>
        <w:t>’</w:t>
      </w:r>
      <w:r>
        <w:rPr>
          <w:rFonts w:ascii="Georgia" w:hAnsi="Georgia"/>
        </w:rPr>
        <w:t xml:space="preserve">Ukraine, du Kirghizistan, de la Tunisie et des Philippines, </w:t>
      </w:r>
      <w:r w:rsidR="00B17F4A">
        <w:rPr>
          <w:rFonts w:ascii="Georgia" w:hAnsi="Georgia"/>
        </w:rPr>
        <w:t xml:space="preserve">signalent </w:t>
      </w:r>
      <w:r>
        <w:rPr>
          <w:rFonts w:ascii="Georgia" w:hAnsi="Georgia"/>
        </w:rPr>
        <w:t>l’urgence d</w:t>
      </w:r>
      <w:r w:rsidR="000D04EB">
        <w:rPr>
          <w:rFonts w:ascii="Georgia" w:hAnsi="Georgia"/>
        </w:rPr>
        <w:t>’</w:t>
      </w:r>
      <w:r>
        <w:rPr>
          <w:rFonts w:ascii="Georgia" w:hAnsi="Georgia"/>
        </w:rPr>
        <w:t xml:space="preserve">une réforme des politiques </w:t>
      </w:r>
      <w:r w:rsidR="00B17F4A">
        <w:rPr>
          <w:rFonts w:ascii="Georgia" w:hAnsi="Georgia"/>
        </w:rPr>
        <w:t xml:space="preserve">qui surutilisent </w:t>
      </w:r>
      <w:r>
        <w:rPr>
          <w:rFonts w:ascii="Georgia" w:hAnsi="Georgia"/>
        </w:rPr>
        <w:t xml:space="preserve">la détention préalable au procès, </w:t>
      </w:r>
      <w:r w:rsidR="00B17F4A">
        <w:rPr>
          <w:rFonts w:ascii="Georgia" w:hAnsi="Georgia"/>
        </w:rPr>
        <w:t xml:space="preserve">une pratique qui </w:t>
      </w:r>
      <w:r>
        <w:rPr>
          <w:rFonts w:ascii="Georgia" w:hAnsi="Georgia"/>
        </w:rPr>
        <w:t xml:space="preserve">conduit à la surpopulation des prisons, facteur de risque direct </w:t>
      </w:r>
      <w:r w:rsidR="00EE7248">
        <w:rPr>
          <w:rFonts w:ascii="Georgia" w:hAnsi="Georgia"/>
        </w:rPr>
        <w:t xml:space="preserve">pour la </w:t>
      </w:r>
      <w:r>
        <w:rPr>
          <w:rFonts w:ascii="Georgia" w:hAnsi="Georgia"/>
        </w:rPr>
        <w:t xml:space="preserve">tuberculose et </w:t>
      </w:r>
      <w:r w:rsidR="0039370D">
        <w:rPr>
          <w:rFonts w:ascii="Georgia" w:hAnsi="Georgia"/>
        </w:rPr>
        <w:t xml:space="preserve">entrave à </w:t>
      </w:r>
      <w:r>
        <w:rPr>
          <w:rFonts w:ascii="Georgia" w:hAnsi="Georgia"/>
        </w:rPr>
        <w:t>la prestation de services de prévention et de traitement pour toutes les maladies</w:t>
      </w:r>
      <w:r w:rsidR="00F16AB6">
        <w:rPr>
          <w:rFonts w:ascii="Georgia" w:hAnsi="Georgia"/>
        </w:rPr>
        <w:t xml:space="preserve">. </w:t>
      </w:r>
      <w:r>
        <w:rPr>
          <w:rFonts w:ascii="Georgia" w:hAnsi="Georgia"/>
        </w:rPr>
        <w:t>En Ukraine, on rapporte que les politiques et les règlements de santé n’établissent pas clairement la responsabilité des autorités publiques en matière de traitement du VIH et de la tuberculose en prison</w:t>
      </w:r>
      <w:r w:rsidR="00F16AB6">
        <w:rPr>
          <w:rFonts w:ascii="Georgia" w:hAnsi="Georgia"/>
        </w:rPr>
        <w:t xml:space="preserve">. </w:t>
      </w:r>
      <w:r>
        <w:rPr>
          <w:rFonts w:ascii="Georgia" w:hAnsi="Georgia"/>
        </w:rPr>
        <w:t>Plusieurs évaluations relèvent qu’on néglige toujours de fournir des préservatifs aux personnes en prison et en détention préalable au procès</w:t>
      </w:r>
      <w:r w:rsidR="00F16AB6">
        <w:rPr>
          <w:rFonts w:ascii="Georgia" w:hAnsi="Georgia"/>
        </w:rPr>
        <w:t xml:space="preserve">. </w:t>
      </w:r>
      <w:r w:rsidR="007E54F9">
        <w:rPr>
          <w:rFonts w:ascii="Georgia" w:hAnsi="Georgia"/>
        </w:rPr>
        <w:t xml:space="preserve">D’autres </w:t>
      </w:r>
      <w:r>
        <w:rPr>
          <w:rFonts w:ascii="Georgia" w:hAnsi="Georgia"/>
        </w:rPr>
        <w:t xml:space="preserve">relèvent </w:t>
      </w:r>
      <w:r w:rsidR="007E54F9">
        <w:rPr>
          <w:rFonts w:ascii="Georgia" w:hAnsi="Georgia"/>
        </w:rPr>
        <w:t xml:space="preserve">les </w:t>
      </w:r>
      <w:r>
        <w:rPr>
          <w:rFonts w:ascii="Georgia" w:hAnsi="Georgia"/>
        </w:rPr>
        <w:t xml:space="preserve">abus systématiques, </w:t>
      </w:r>
      <w:r w:rsidR="007E54F9">
        <w:rPr>
          <w:rFonts w:ascii="Georgia" w:hAnsi="Georgia"/>
        </w:rPr>
        <w:t xml:space="preserve">dont </w:t>
      </w:r>
      <w:r>
        <w:rPr>
          <w:rFonts w:ascii="Georgia" w:hAnsi="Georgia"/>
        </w:rPr>
        <w:t xml:space="preserve">la violence, auxquels sont confrontés les hommes ayant des rapports sexuels avec des hommes et les personnes transgenres en prison, en particulier </w:t>
      </w:r>
      <w:r w:rsidR="00CD4750">
        <w:rPr>
          <w:rFonts w:ascii="Georgia" w:hAnsi="Georgia"/>
        </w:rPr>
        <w:t xml:space="preserve">chez </w:t>
      </w:r>
      <w:r>
        <w:rPr>
          <w:rFonts w:ascii="Georgia" w:hAnsi="Georgia"/>
        </w:rPr>
        <w:t xml:space="preserve">ces derniers </w:t>
      </w:r>
      <w:r w:rsidR="00CD4750">
        <w:rPr>
          <w:rFonts w:ascii="Georgia" w:hAnsi="Georgia"/>
        </w:rPr>
        <w:t xml:space="preserve">lorsqu’ils </w:t>
      </w:r>
      <w:r>
        <w:rPr>
          <w:rFonts w:ascii="Georgia" w:hAnsi="Georgia"/>
        </w:rPr>
        <w:t>ne sont pas logés selon leur préférence de genre</w:t>
      </w:r>
      <w:r w:rsidR="00F16AB6">
        <w:rPr>
          <w:rFonts w:ascii="Georgia" w:hAnsi="Georgia"/>
        </w:rPr>
        <w:t xml:space="preserve">. </w:t>
      </w:r>
    </w:p>
    <w:p w14:paraId="3B4198F8" w14:textId="77777777" w:rsidR="002F2DD8" w:rsidRPr="002F2DD8" w:rsidRDefault="002F2DD8" w:rsidP="002F2DD8">
      <w:pPr>
        <w:pStyle w:val="NoSpacing"/>
        <w:rPr>
          <w:rFonts w:ascii="Georgia" w:hAnsi="Georgia" w:cstheme="minorHAnsi"/>
        </w:rPr>
      </w:pPr>
    </w:p>
    <w:p w14:paraId="5E962740" w14:textId="1ED77562" w:rsidR="002F2DD8" w:rsidRPr="0033724B" w:rsidRDefault="002F2DD8" w:rsidP="0043050D">
      <w:pPr>
        <w:pStyle w:val="NoSpacing"/>
        <w:keepNext/>
        <w:rPr>
          <w:rFonts w:ascii="Georgia" w:hAnsi="Georgia" w:cstheme="minorHAnsi"/>
          <w:color w:val="4472C4" w:themeColor="accent1"/>
        </w:rPr>
      </w:pPr>
      <w:r>
        <w:rPr>
          <w:rFonts w:ascii="Georgia" w:hAnsi="Georgia"/>
          <w:b/>
          <w:color w:val="4472C4" w:themeColor="accent1"/>
        </w:rPr>
        <w:lastRenderedPageBreak/>
        <w:t>Les populations clés n</w:t>
      </w:r>
      <w:r w:rsidR="000D04EB">
        <w:rPr>
          <w:rFonts w:ascii="Georgia" w:hAnsi="Georgia"/>
          <w:b/>
          <w:color w:val="4472C4" w:themeColor="accent1"/>
        </w:rPr>
        <w:t>’</w:t>
      </w:r>
      <w:r>
        <w:rPr>
          <w:rFonts w:ascii="Georgia" w:hAnsi="Georgia"/>
          <w:b/>
          <w:color w:val="4472C4" w:themeColor="accent1"/>
        </w:rPr>
        <w:t>ont pas un accès suffisant à la justice</w:t>
      </w:r>
      <w:r w:rsidR="00F16AB6">
        <w:rPr>
          <w:rFonts w:ascii="Georgia" w:hAnsi="Georgia"/>
          <w:color w:val="4472C4" w:themeColor="accent1"/>
        </w:rPr>
        <w:t xml:space="preserve">. </w:t>
      </w:r>
    </w:p>
    <w:p w14:paraId="416CB531" w14:textId="38C9E528" w:rsidR="002F2DD8" w:rsidRPr="002F2DD8" w:rsidRDefault="002F2DD8" w:rsidP="0043050D">
      <w:pPr>
        <w:pStyle w:val="NoSpacing"/>
        <w:keepNext/>
        <w:rPr>
          <w:rFonts w:ascii="Georgia" w:hAnsi="Georgia" w:cstheme="minorHAnsi"/>
        </w:rPr>
      </w:pPr>
      <w:r>
        <w:rPr>
          <w:rFonts w:ascii="Georgia" w:hAnsi="Georgia"/>
        </w:rPr>
        <w:t>Presque toutes les évaluations font le constat d’un besoin impérieux de programmes qui amélioreraient l’accès à la justice pour les populations clés, notamment l</w:t>
      </w:r>
      <w:r w:rsidR="000D04EB">
        <w:rPr>
          <w:rFonts w:ascii="Georgia" w:hAnsi="Georgia"/>
        </w:rPr>
        <w:t>’</w:t>
      </w:r>
      <w:r>
        <w:rPr>
          <w:rFonts w:ascii="Georgia" w:hAnsi="Georgia"/>
        </w:rPr>
        <w:t xml:space="preserve">accès à des services juridiques ou </w:t>
      </w:r>
      <w:proofErr w:type="spellStart"/>
      <w:r>
        <w:rPr>
          <w:rFonts w:ascii="Georgia" w:hAnsi="Georgia"/>
        </w:rPr>
        <w:t>parajuridiques</w:t>
      </w:r>
      <w:proofErr w:type="spellEnd"/>
      <w:r w:rsidR="00F16AB6">
        <w:rPr>
          <w:rFonts w:ascii="Georgia" w:hAnsi="Georgia"/>
        </w:rPr>
        <w:t xml:space="preserve">. </w:t>
      </w:r>
      <w:r>
        <w:rPr>
          <w:rFonts w:ascii="Georgia" w:hAnsi="Georgia"/>
        </w:rPr>
        <w:t>Pourtant, presque tous les pays offrent des services d</w:t>
      </w:r>
      <w:r w:rsidR="000D04EB">
        <w:rPr>
          <w:rFonts w:ascii="Georgia" w:hAnsi="Georgia"/>
        </w:rPr>
        <w:t>’</w:t>
      </w:r>
      <w:r>
        <w:rPr>
          <w:rFonts w:ascii="Georgia" w:hAnsi="Georgia"/>
        </w:rPr>
        <w:t>aide juridique gratuits ou subventionnés</w:t>
      </w:r>
      <w:r w:rsidR="00F16AB6">
        <w:rPr>
          <w:rFonts w:ascii="Georgia" w:hAnsi="Georgia"/>
        </w:rPr>
        <w:t xml:space="preserve">. </w:t>
      </w:r>
      <w:r>
        <w:rPr>
          <w:rFonts w:ascii="Georgia" w:hAnsi="Georgia"/>
        </w:rPr>
        <w:t xml:space="preserve">Les évaluations concluent toutefois en vaste majorité que ces services ne fournissent pas </w:t>
      </w:r>
      <w:r w:rsidR="00200795">
        <w:rPr>
          <w:rFonts w:ascii="Georgia" w:hAnsi="Georgia"/>
        </w:rPr>
        <w:t>l’</w:t>
      </w:r>
      <w:r>
        <w:rPr>
          <w:rFonts w:ascii="Georgia" w:hAnsi="Georgia"/>
        </w:rPr>
        <w:t xml:space="preserve">aide juridique </w:t>
      </w:r>
      <w:r w:rsidR="00200795">
        <w:rPr>
          <w:rFonts w:ascii="Georgia" w:hAnsi="Georgia"/>
        </w:rPr>
        <w:t>d’</w:t>
      </w:r>
      <w:r>
        <w:rPr>
          <w:rFonts w:ascii="Georgia" w:hAnsi="Georgia"/>
        </w:rPr>
        <w:t>avocats qualifiés suffisante pour répondre à la demande des personnes vulnérables ou vivant avec le VIH ou la tuberculose qui sont victimes de discrimination et d</w:t>
      </w:r>
      <w:r w:rsidR="000D04EB">
        <w:rPr>
          <w:rFonts w:ascii="Georgia" w:hAnsi="Georgia"/>
        </w:rPr>
        <w:t>’</w:t>
      </w:r>
      <w:r>
        <w:rPr>
          <w:rFonts w:ascii="Georgia" w:hAnsi="Georgia"/>
        </w:rPr>
        <w:t>autres abus</w:t>
      </w:r>
      <w:r w:rsidR="00F16AB6">
        <w:rPr>
          <w:rFonts w:ascii="Georgia" w:hAnsi="Georgia"/>
        </w:rPr>
        <w:t xml:space="preserve">. </w:t>
      </w:r>
      <w:r>
        <w:rPr>
          <w:rFonts w:ascii="Georgia" w:hAnsi="Georgia"/>
        </w:rPr>
        <w:t xml:space="preserve">Dans plusieurs pays, un système de justice chroniquement sous-financé et </w:t>
      </w:r>
      <w:r w:rsidR="00780DB3">
        <w:rPr>
          <w:rFonts w:ascii="Georgia" w:hAnsi="Georgia"/>
        </w:rPr>
        <w:t xml:space="preserve">affaibli </w:t>
      </w:r>
      <w:r>
        <w:rPr>
          <w:rFonts w:ascii="Georgia" w:hAnsi="Georgia"/>
        </w:rPr>
        <w:t>exacerbe ce problème</w:t>
      </w:r>
      <w:r w:rsidR="00F16AB6">
        <w:rPr>
          <w:rFonts w:ascii="Georgia" w:hAnsi="Georgia"/>
        </w:rPr>
        <w:t xml:space="preserve">. </w:t>
      </w:r>
      <w:r>
        <w:rPr>
          <w:rFonts w:ascii="Georgia" w:hAnsi="Georgia"/>
        </w:rPr>
        <w:t>Certaines évaluations de référence suggèrent des moyens d’intéresser les avocats aux questions liées au VIH et à la tuberculose ou d</w:t>
      </w:r>
      <w:r w:rsidR="000D04EB">
        <w:rPr>
          <w:rFonts w:ascii="Georgia" w:hAnsi="Georgia"/>
        </w:rPr>
        <w:t>’</w:t>
      </w:r>
      <w:r>
        <w:rPr>
          <w:rFonts w:ascii="Georgia" w:hAnsi="Georgia"/>
        </w:rPr>
        <w:t>optimiser l</w:t>
      </w:r>
      <w:r w:rsidR="000D04EB">
        <w:rPr>
          <w:rFonts w:ascii="Georgia" w:hAnsi="Georgia"/>
        </w:rPr>
        <w:t>’</w:t>
      </w:r>
      <w:r>
        <w:rPr>
          <w:rFonts w:ascii="Georgia" w:hAnsi="Georgia"/>
        </w:rPr>
        <w:t>accès à un nombre restreint d’avocats, comme on le fait avec les cliniques juridiques mobiles (aux Philippines par exemple)</w:t>
      </w:r>
      <w:r w:rsidR="00F16AB6">
        <w:rPr>
          <w:rFonts w:ascii="Georgia" w:hAnsi="Georgia"/>
        </w:rPr>
        <w:t>.</w:t>
      </w:r>
      <w:r w:rsidR="00514049">
        <w:rPr>
          <w:rFonts w:ascii="Georgia" w:hAnsi="Georgia"/>
        </w:rPr>
        <w:t xml:space="preserve"> P</w:t>
      </w:r>
      <w:r>
        <w:rPr>
          <w:rFonts w:ascii="Georgia" w:hAnsi="Georgia"/>
        </w:rPr>
        <w:t xml:space="preserve">lusieurs évaluations font </w:t>
      </w:r>
      <w:r w:rsidR="00514049">
        <w:rPr>
          <w:rFonts w:ascii="Georgia" w:hAnsi="Georgia"/>
        </w:rPr>
        <w:t xml:space="preserve">plutôt </w:t>
      </w:r>
      <w:r>
        <w:rPr>
          <w:rFonts w:ascii="Georgia" w:hAnsi="Georgia"/>
        </w:rPr>
        <w:t>état</w:t>
      </w:r>
      <w:r w:rsidR="00514049">
        <w:rPr>
          <w:rFonts w:ascii="Georgia" w:hAnsi="Georgia"/>
        </w:rPr>
        <w:t xml:space="preserve"> </w:t>
      </w:r>
      <w:r>
        <w:rPr>
          <w:rFonts w:ascii="Georgia" w:hAnsi="Georgia"/>
        </w:rPr>
        <w:t xml:space="preserve">de stratégies reposant sur des parajuristes pairs ou communautaires, </w:t>
      </w:r>
      <w:r w:rsidR="00514049">
        <w:rPr>
          <w:rFonts w:ascii="Georgia" w:hAnsi="Georgia"/>
        </w:rPr>
        <w:t xml:space="preserve">voire </w:t>
      </w:r>
      <w:r>
        <w:rPr>
          <w:rFonts w:ascii="Georgia" w:hAnsi="Georgia"/>
        </w:rPr>
        <w:t>simplement sur des accompagnants pour les audiences au tribunal et autres processus judiciaires, et d</w:t>
      </w:r>
      <w:r w:rsidR="000D04EB">
        <w:rPr>
          <w:rFonts w:ascii="Georgia" w:hAnsi="Georgia"/>
        </w:rPr>
        <w:t>’</w:t>
      </w:r>
      <w:r>
        <w:rPr>
          <w:rFonts w:ascii="Georgia" w:hAnsi="Georgia"/>
        </w:rPr>
        <w:t xml:space="preserve">autres </w:t>
      </w:r>
      <w:r w:rsidR="000A4230">
        <w:rPr>
          <w:rFonts w:ascii="Georgia" w:hAnsi="Georgia"/>
        </w:rPr>
        <w:t xml:space="preserve">stratégies </w:t>
      </w:r>
      <w:r>
        <w:rPr>
          <w:rFonts w:ascii="Georgia" w:hAnsi="Georgia"/>
        </w:rPr>
        <w:t>qui ne reposent pas sur l</w:t>
      </w:r>
      <w:r w:rsidR="000D04EB">
        <w:rPr>
          <w:rFonts w:ascii="Georgia" w:hAnsi="Georgia"/>
        </w:rPr>
        <w:t>’</w:t>
      </w:r>
      <w:r>
        <w:rPr>
          <w:rFonts w:ascii="Georgia" w:hAnsi="Georgia"/>
        </w:rPr>
        <w:t xml:space="preserve">accès </w:t>
      </w:r>
      <w:r w:rsidR="00514049">
        <w:rPr>
          <w:rFonts w:ascii="Georgia" w:hAnsi="Georgia"/>
        </w:rPr>
        <w:t xml:space="preserve">onéreux </w:t>
      </w:r>
      <w:r>
        <w:rPr>
          <w:rFonts w:ascii="Georgia" w:hAnsi="Georgia"/>
        </w:rPr>
        <w:t>à un avocat</w:t>
      </w:r>
      <w:r w:rsidR="00514049">
        <w:rPr>
          <w:rFonts w:ascii="Georgia" w:hAnsi="Georgia"/>
        </w:rPr>
        <w:t>, ce qui est peut-être l’aspect le plus important</w:t>
      </w:r>
      <w:r w:rsidR="000A4230">
        <w:rPr>
          <w:rFonts w:ascii="Georgia" w:hAnsi="Georgia"/>
        </w:rPr>
        <w:t xml:space="preserve"> de ces approches</w:t>
      </w:r>
      <w:r w:rsidR="00F16AB6">
        <w:rPr>
          <w:rFonts w:ascii="Georgia" w:hAnsi="Georgia"/>
        </w:rPr>
        <w:t xml:space="preserve">. </w:t>
      </w:r>
      <w:r>
        <w:rPr>
          <w:rFonts w:ascii="Georgia" w:hAnsi="Georgia"/>
        </w:rPr>
        <w:t>L</w:t>
      </w:r>
      <w:r w:rsidR="000D04EB">
        <w:rPr>
          <w:rFonts w:ascii="Georgia" w:hAnsi="Georgia"/>
        </w:rPr>
        <w:t>’</w:t>
      </w:r>
      <w:r>
        <w:rPr>
          <w:rFonts w:ascii="Georgia" w:hAnsi="Georgia"/>
        </w:rPr>
        <w:t xml:space="preserve">ONG </w:t>
      </w:r>
      <w:proofErr w:type="spellStart"/>
      <w:r>
        <w:rPr>
          <w:rFonts w:ascii="Georgia" w:hAnsi="Georgia"/>
        </w:rPr>
        <w:t>Namati</w:t>
      </w:r>
      <w:proofErr w:type="spellEnd"/>
      <w:r>
        <w:rPr>
          <w:rFonts w:ascii="Georgia" w:hAnsi="Georgia"/>
        </w:rPr>
        <w:t xml:space="preserve"> au Mozambique, par exemple, emploie une stratégie combinée qui consiste à soutenir des surveillants communautaires responsables de rapporter les mauvaises pratiques sanitaires et à collaborer avec les comités sanitaires des villages pour s</w:t>
      </w:r>
      <w:r w:rsidR="000D04EB">
        <w:rPr>
          <w:rFonts w:ascii="Georgia" w:hAnsi="Georgia"/>
        </w:rPr>
        <w:t>’</w:t>
      </w:r>
      <w:r>
        <w:rPr>
          <w:rFonts w:ascii="Georgia" w:hAnsi="Georgia"/>
        </w:rPr>
        <w:t>assurer que les utilisateurs des services de santé connaissent leurs droits et interagissent efficacement avec les autorités sanitaires</w:t>
      </w:r>
      <w:r w:rsidR="00F16AB6">
        <w:rPr>
          <w:rFonts w:ascii="Georgia" w:hAnsi="Georgia"/>
        </w:rPr>
        <w:t xml:space="preserve">. </w:t>
      </w:r>
      <w:r>
        <w:rPr>
          <w:rFonts w:ascii="Georgia" w:hAnsi="Georgia"/>
        </w:rPr>
        <w:t>Souvent, les structures communautaires peuvent modifier les pratiques et obtenir réparation pour les violations de droits, même sans recourir à une assistance juridique formelle</w:t>
      </w:r>
      <w:r w:rsidR="00F16AB6">
        <w:rPr>
          <w:rFonts w:ascii="Georgia" w:hAnsi="Georgia"/>
        </w:rPr>
        <w:t xml:space="preserve">. </w:t>
      </w:r>
      <w:r>
        <w:rPr>
          <w:rFonts w:ascii="Georgia" w:hAnsi="Georgia"/>
        </w:rPr>
        <w:t>D</w:t>
      </w:r>
      <w:r w:rsidR="000D04EB">
        <w:rPr>
          <w:rFonts w:ascii="Georgia" w:hAnsi="Georgia"/>
        </w:rPr>
        <w:t>’</w:t>
      </w:r>
      <w:r>
        <w:rPr>
          <w:rFonts w:ascii="Georgia" w:hAnsi="Georgia"/>
        </w:rPr>
        <w:t xml:space="preserve">autres pays ont connu </w:t>
      </w:r>
      <w:r w:rsidR="00A551EA">
        <w:rPr>
          <w:rFonts w:ascii="Georgia" w:hAnsi="Georgia"/>
        </w:rPr>
        <w:t xml:space="preserve">des </w:t>
      </w:r>
      <w:r>
        <w:rPr>
          <w:rFonts w:ascii="Georgia" w:hAnsi="Georgia"/>
        </w:rPr>
        <w:t xml:space="preserve">succès en formant, parmi les membres de populations clés, un nombre critique de parajuristes et éducateurs pairs en matière de droits humains. </w:t>
      </w:r>
    </w:p>
    <w:p w14:paraId="026FE4B5" w14:textId="77777777" w:rsidR="002F2DD8" w:rsidRPr="002F2DD8" w:rsidRDefault="002F2DD8" w:rsidP="002F2DD8">
      <w:pPr>
        <w:pStyle w:val="NoSpacing"/>
        <w:rPr>
          <w:rFonts w:ascii="Georgia" w:hAnsi="Georgia" w:cstheme="minorHAnsi"/>
        </w:rPr>
      </w:pPr>
    </w:p>
    <w:p w14:paraId="19A5A74F" w14:textId="3EDAF30C" w:rsidR="002F2DD8" w:rsidRPr="0033724B" w:rsidRDefault="002F2DD8" w:rsidP="002F2DD8">
      <w:pPr>
        <w:pStyle w:val="NoSpacing"/>
        <w:rPr>
          <w:rFonts w:ascii="Georgia" w:hAnsi="Georgia" w:cstheme="minorHAnsi"/>
          <w:color w:val="4472C4" w:themeColor="accent1"/>
        </w:rPr>
      </w:pPr>
      <w:r>
        <w:rPr>
          <w:rFonts w:ascii="Georgia" w:hAnsi="Georgia"/>
          <w:b/>
          <w:color w:val="4472C4" w:themeColor="accent1"/>
        </w:rPr>
        <w:t>Les inégalité</w:t>
      </w:r>
      <w:r w:rsidR="000D04EB">
        <w:rPr>
          <w:rFonts w:ascii="Georgia" w:hAnsi="Georgia"/>
          <w:b/>
          <w:color w:val="4472C4" w:themeColor="accent1"/>
        </w:rPr>
        <w:t>s</w:t>
      </w:r>
      <w:r>
        <w:rPr>
          <w:rFonts w:ascii="Georgia" w:hAnsi="Georgia"/>
          <w:b/>
          <w:color w:val="4472C4" w:themeColor="accent1"/>
        </w:rPr>
        <w:t xml:space="preserve"> entre les genres et la violence fondée sur le genre, qui conduisent à une vulnérabilité au VIH, à la tuberculose et au paludisme, sont négligées</w:t>
      </w:r>
      <w:r w:rsidR="00F16AB6">
        <w:rPr>
          <w:rFonts w:ascii="Georgia" w:hAnsi="Georgia"/>
          <w:b/>
          <w:color w:val="4472C4" w:themeColor="accent1"/>
        </w:rPr>
        <w:t xml:space="preserve">. </w:t>
      </w:r>
    </w:p>
    <w:p w14:paraId="031033FC" w14:textId="7B1F7918" w:rsidR="002F2DD8" w:rsidRPr="002F2DD8" w:rsidRDefault="002F2DD8" w:rsidP="002F2DD8">
      <w:pPr>
        <w:pStyle w:val="NoSpacing"/>
        <w:rPr>
          <w:rFonts w:ascii="Georgia" w:hAnsi="Georgia" w:cstheme="minorHAnsi"/>
        </w:rPr>
      </w:pPr>
      <w:r>
        <w:rPr>
          <w:rFonts w:ascii="Georgia" w:hAnsi="Georgia"/>
        </w:rPr>
        <w:t>Bien qu</w:t>
      </w:r>
      <w:r w:rsidR="000D04EB">
        <w:rPr>
          <w:rFonts w:ascii="Georgia" w:hAnsi="Georgia"/>
        </w:rPr>
        <w:t>’</w:t>
      </w:r>
      <w:r>
        <w:rPr>
          <w:rFonts w:ascii="Georgia" w:hAnsi="Georgia"/>
        </w:rPr>
        <w:t>il existe des stratégies et des programmes nationaux de lutte contre la violence fondée sur le genre (</w:t>
      </w:r>
      <w:r w:rsidR="000D418B">
        <w:rPr>
          <w:rFonts w:ascii="Georgia" w:hAnsi="Georgia"/>
        </w:rPr>
        <w:t>VFG</w:t>
      </w:r>
      <w:r>
        <w:rPr>
          <w:rFonts w:ascii="Georgia" w:hAnsi="Georgia"/>
        </w:rPr>
        <w:t xml:space="preserve">) dans la presque totalité des 20 pays, la lutte contre la </w:t>
      </w:r>
      <w:r w:rsidR="000D418B">
        <w:rPr>
          <w:rFonts w:ascii="Georgia" w:hAnsi="Georgia"/>
        </w:rPr>
        <w:t>VFG</w:t>
      </w:r>
      <w:r>
        <w:rPr>
          <w:rFonts w:ascii="Georgia" w:hAnsi="Georgia"/>
        </w:rPr>
        <w:t xml:space="preserve"> n’est pas adéquatement coordonnée avec les services de lutte contre le VIH ni considérée comme une partie intégrante des efforts d</w:t>
      </w:r>
      <w:r w:rsidR="000D04EB">
        <w:rPr>
          <w:rFonts w:ascii="Georgia" w:hAnsi="Georgia"/>
        </w:rPr>
        <w:t>’</w:t>
      </w:r>
      <w:r>
        <w:rPr>
          <w:rFonts w:ascii="Georgia" w:hAnsi="Georgia"/>
        </w:rPr>
        <w:t>amélioration de l</w:t>
      </w:r>
      <w:r w:rsidR="000D04EB">
        <w:rPr>
          <w:rFonts w:ascii="Georgia" w:hAnsi="Georgia"/>
        </w:rPr>
        <w:t>’</w:t>
      </w:r>
      <w:r>
        <w:rPr>
          <w:rFonts w:ascii="Georgia" w:hAnsi="Georgia"/>
        </w:rPr>
        <w:t>accès aux services de santé, concluent de nombreuses évaluations de référence</w:t>
      </w:r>
      <w:r w:rsidR="00F16AB6">
        <w:rPr>
          <w:rFonts w:ascii="Georgia" w:hAnsi="Georgia"/>
        </w:rPr>
        <w:t xml:space="preserve">. </w:t>
      </w:r>
      <w:r w:rsidR="000D418B">
        <w:rPr>
          <w:rFonts w:ascii="Georgia" w:hAnsi="Georgia"/>
        </w:rPr>
        <w:t xml:space="preserve">Elles concluent </w:t>
      </w:r>
      <w:r>
        <w:rPr>
          <w:rFonts w:ascii="Georgia" w:hAnsi="Georgia"/>
        </w:rPr>
        <w:t xml:space="preserve">également que les politiques et les programmes de </w:t>
      </w:r>
      <w:r w:rsidR="000D418B">
        <w:rPr>
          <w:rFonts w:ascii="Georgia" w:hAnsi="Georgia"/>
        </w:rPr>
        <w:t>VFG</w:t>
      </w:r>
      <w:r>
        <w:rPr>
          <w:rFonts w:ascii="Georgia" w:hAnsi="Georgia"/>
        </w:rPr>
        <w:t xml:space="preserve"> sont nettement sous-financés, de faible envergure et mal évalués,</w:t>
      </w:r>
      <w:r w:rsidR="000D418B">
        <w:rPr>
          <w:rFonts w:ascii="Georgia" w:hAnsi="Georgia"/>
        </w:rPr>
        <w:t xml:space="preserve"> s’ils le sont</w:t>
      </w:r>
      <w:r w:rsidR="00F16AB6">
        <w:rPr>
          <w:rFonts w:ascii="Georgia" w:hAnsi="Georgia"/>
        </w:rPr>
        <w:t xml:space="preserve">. </w:t>
      </w:r>
      <w:r>
        <w:rPr>
          <w:rFonts w:ascii="Georgia" w:hAnsi="Georgia"/>
        </w:rPr>
        <w:t xml:space="preserve">Dans plusieurs pays, les programmes de </w:t>
      </w:r>
      <w:r w:rsidR="000D418B">
        <w:rPr>
          <w:rFonts w:ascii="Georgia" w:hAnsi="Georgia"/>
        </w:rPr>
        <w:t>VFG</w:t>
      </w:r>
      <w:r>
        <w:rPr>
          <w:rFonts w:ascii="Georgia" w:hAnsi="Georgia"/>
        </w:rPr>
        <w:t xml:space="preserve"> excluent les travailleuses du sexe, les femmes et les filles qui consomment des drogues et les personnes transgenres</w:t>
      </w:r>
      <w:r w:rsidR="00F16AB6">
        <w:rPr>
          <w:rFonts w:ascii="Georgia" w:hAnsi="Georgia"/>
        </w:rPr>
        <w:t xml:space="preserve">. </w:t>
      </w:r>
      <w:r>
        <w:rPr>
          <w:rFonts w:ascii="Georgia" w:hAnsi="Georgia"/>
        </w:rPr>
        <w:t>Il existe un certain nombre de programmes destinés aux adolescentes et aux jeunes femmes dans la plupart des 20</w:t>
      </w:r>
      <w:r w:rsidR="003F5F30">
        <w:rPr>
          <w:rFonts w:ascii="Georgia" w:hAnsi="Georgia"/>
        </w:rPr>
        <w:t> </w:t>
      </w:r>
      <w:r>
        <w:rPr>
          <w:rFonts w:ascii="Georgia" w:hAnsi="Georgia"/>
        </w:rPr>
        <w:t>pays, bien que peu d’entre eux ciblent les jeunes appartenant aux populations clés</w:t>
      </w:r>
      <w:r w:rsidR="00F16AB6">
        <w:rPr>
          <w:rFonts w:ascii="Georgia" w:hAnsi="Georgia"/>
        </w:rPr>
        <w:t xml:space="preserve">. </w:t>
      </w:r>
      <w:r>
        <w:rPr>
          <w:rFonts w:ascii="Georgia" w:hAnsi="Georgia"/>
        </w:rPr>
        <w:t xml:space="preserve">Comme il a été mentionné précédemment, un soutien </w:t>
      </w:r>
      <w:r w:rsidR="00297414">
        <w:rPr>
          <w:rFonts w:ascii="Georgia" w:hAnsi="Georgia"/>
        </w:rPr>
        <w:t xml:space="preserve">beaucoup plus vaste </w:t>
      </w:r>
      <w:r>
        <w:rPr>
          <w:rFonts w:ascii="Georgia" w:hAnsi="Georgia"/>
        </w:rPr>
        <w:t xml:space="preserve">est nécessaire pour les programmes visant les normes de masculinité qui mettent les hommes à risque et qui encouragent la violence, les pratiques sexuelles risquées et </w:t>
      </w:r>
      <w:r w:rsidR="00ED4F9E">
        <w:rPr>
          <w:rFonts w:ascii="Georgia" w:hAnsi="Georgia"/>
        </w:rPr>
        <w:t xml:space="preserve">des </w:t>
      </w:r>
      <w:r>
        <w:rPr>
          <w:rFonts w:ascii="Georgia" w:hAnsi="Georgia"/>
        </w:rPr>
        <w:t xml:space="preserve">attitudes </w:t>
      </w:r>
      <w:proofErr w:type="spellStart"/>
      <w:r w:rsidR="00892F1D">
        <w:rPr>
          <w:rFonts w:ascii="Georgia" w:hAnsi="Georgia"/>
        </w:rPr>
        <w:t>infériorisantes</w:t>
      </w:r>
      <w:proofErr w:type="spellEnd"/>
      <w:r w:rsidR="00892F1D">
        <w:rPr>
          <w:rFonts w:ascii="Georgia" w:hAnsi="Georgia"/>
        </w:rPr>
        <w:t xml:space="preserve"> pour </w:t>
      </w:r>
      <w:r>
        <w:rPr>
          <w:rFonts w:ascii="Georgia" w:hAnsi="Georgia"/>
        </w:rPr>
        <w:t>les femmes et les filles.</w:t>
      </w:r>
    </w:p>
    <w:p w14:paraId="1FA6EA18" w14:textId="77777777" w:rsidR="002F2DD8" w:rsidRPr="002F2DD8" w:rsidRDefault="002F2DD8" w:rsidP="002F2DD8">
      <w:pPr>
        <w:pStyle w:val="NoSpacing"/>
        <w:rPr>
          <w:rFonts w:ascii="Georgia" w:hAnsi="Georgia" w:cstheme="minorHAnsi"/>
        </w:rPr>
      </w:pPr>
    </w:p>
    <w:p w14:paraId="616F6041" w14:textId="70AAD84A" w:rsidR="002F2DD8" w:rsidRPr="0033724B" w:rsidRDefault="002F2DD8" w:rsidP="002F2DD8">
      <w:pPr>
        <w:pStyle w:val="NoSpacing"/>
        <w:rPr>
          <w:rFonts w:ascii="Georgia" w:hAnsi="Georgia" w:cstheme="minorHAnsi"/>
          <w:color w:val="4472C4" w:themeColor="accent1"/>
        </w:rPr>
      </w:pPr>
      <w:r>
        <w:rPr>
          <w:rFonts w:ascii="Georgia" w:hAnsi="Georgia"/>
          <w:b/>
          <w:color w:val="4472C4" w:themeColor="accent1"/>
        </w:rPr>
        <w:t>Les obstacles liés aux droits humains qui entravent l’accès aux service</w:t>
      </w:r>
      <w:r w:rsidR="000D04EB">
        <w:rPr>
          <w:rFonts w:ascii="Georgia" w:hAnsi="Georgia"/>
          <w:b/>
          <w:color w:val="4472C4" w:themeColor="accent1"/>
        </w:rPr>
        <w:t>s</w:t>
      </w:r>
      <w:r>
        <w:rPr>
          <w:rFonts w:ascii="Georgia" w:hAnsi="Georgia"/>
          <w:b/>
          <w:color w:val="4472C4" w:themeColor="accent1"/>
        </w:rPr>
        <w:t xml:space="preserve"> de lutte contre la tuberculose sont négligés et méconnus</w:t>
      </w:r>
      <w:r>
        <w:rPr>
          <w:rFonts w:ascii="Georgia" w:hAnsi="Georgia"/>
          <w:color w:val="4472C4" w:themeColor="accent1"/>
        </w:rPr>
        <w:t xml:space="preserve">. </w:t>
      </w:r>
    </w:p>
    <w:p w14:paraId="08CC7DAD" w14:textId="6F975829" w:rsidR="002F2DD8" w:rsidRPr="002F2DD8" w:rsidRDefault="002F2DD8" w:rsidP="002F2DD8">
      <w:pPr>
        <w:pStyle w:val="NoSpacing"/>
        <w:rPr>
          <w:rFonts w:ascii="Georgia" w:hAnsi="Georgia" w:cstheme="minorHAnsi"/>
        </w:rPr>
      </w:pPr>
      <w:r>
        <w:rPr>
          <w:rFonts w:ascii="Georgia" w:hAnsi="Georgia"/>
        </w:rPr>
        <w:t xml:space="preserve">Les évaluations de référence auront eu le mérite de </w:t>
      </w:r>
      <w:r w:rsidR="008F7606">
        <w:rPr>
          <w:rFonts w:ascii="Georgia" w:hAnsi="Georgia"/>
        </w:rPr>
        <w:t xml:space="preserve">mettre au jour </w:t>
      </w:r>
      <w:r>
        <w:rPr>
          <w:rFonts w:ascii="Georgia" w:hAnsi="Georgia"/>
        </w:rPr>
        <w:t xml:space="preserve">des obstacles liés aux droits humains </w:t>
      </w:r>
      <w:r w:rsidR="00D27960">
        <w:rPr>
          <w:rFonts w:ascii="Georgia" w:hAnsi="Georgia"/>
        </w:rPr>
        <w:t xml:space="preserve">encore non reconnus </w:t>
      </w:r>
      <w:r>
        <w:rPr>
          <w:rFonts w:ascii="Georgia" w:hAnsi="Georgia"/>
        </w:rPr>
        <w:t>qui entravent l’accès aux service</w:t>
      </w:r>
      <w:r w:rsidR="000D04EB">
        <w:rPr>
          <w:rFonts w:ascii="Georgia" w:hAnsi="Georgia"/>
        </w:rPr>
        <w:t>s</w:t>
      </w:r>
      <w:r>
        <w:rPr>
          <w:rFonts w:ascii="Georgia" w:hAnsi="Georgia"/>
        </w:rPr>
        <w:t xml:space="preserve"> de lutte contre la tuberculose, comme le rejet social fondé sur des perceptions non scientifiques </w:t>
      </w:r>
      <w:r w:rsidR="000C4326">
        <w:rPr>
          <w:rFonts w:ascii="Georgia" w:hAnsi="Georgia"/>
        </w:rPr>
        <w:t xml:space="preserve">de </w:t>
      </w:r>
      <w:r>
        <w:rPr>
          <w:rFonts w:ascii="Georgia" w:hAnsi="Georgia"/>
        </w:rPr>
        <w:t xml:space="preserve">la tuberculose, l’incapacité de nombreux pays à fournir des protections de base contre la tuberculose dans les lieux de travail à risque et la coordination inadéquate des services de lutte contre le VIH et la tuberculose pour les personnes </w:t>
      </w:r>
      <w:proofErr w:type="spellStart"/>
      <w:r>
        <w:rPr>
          <w:rFonts w:ascii="Georgia" w:hAnsi="Georgia"/>
        </w:rPr>
        <w:t>co-infectées</w:t>
      </w:r>
      <w:proofErr w:type="spellEnd"/>
      <w:r>
        <w:rPr>
          <w:rFonts w:ascii="Georgia" w:hAnsi="Georgia"/>
        </w:rPr>
        <w:t xml:space="preserve"> </w:t>
      </w:r>
      <w:r w:rsidR="00464E0F">
        <w:rPr>
          <w:rFonts w:ascii="Georgia" w:hAnsi="Georgia"/>
        </w:rPr>
        <w:t xml:space="preserve">ou </w:t>
      </w:r>
      <w:r w:rsidR="000D04EB">
        <w:rPr>
          <w:rFonts w:ascii="Georgia" w:hAnsi="Georgia"/>
        </w:rPr>
        <w:t xml:space="preserve">risquant la </w:t>
      </w:r>
      <w:r>
        <w:rPr>
          <w:rFonts w:ascii="Georgia" w:hAnsi="Georgia"/>
        </w:rPr>
        <w:t>co-infection</w:t>
      </w:r>
      <w:r w:rsidR="00F16AB6">
        <w:rPr>
          <w:rFonts w:ascii="Georgia" w:hAnsi="Georgia"/>
        </w:rPr>
        <w:t xml:space="preserve">. </w:t>
      </w:r>
      <w:r>
        <w:rPr>
          <w:rFonts w:ascii="Georgia" w:hAnsi="Georgia"/>
        </w:rPr>
        <w:t>Elles ont également mis en lumière un intérêt croissant pour les questions de genre liées à la tuberculose, comme les risques liés au genre en milieu de travail chez les mineurs, les travailleurs de la construction et dans d</w:t>
      </w:r>
      <w:r w:rsidR="000D04EB">
        <w:rPr>
          <w:rFonts w:ascii="Georgia" w:hAnsi="Georgia"/>
        </w:rPr>
        <w:t>’</w:t>
      </w:r>
      <w:r>
        <w:rPr>
          <w:rFonts w:ascii="Georgia" w:hAnsi="Georgia"/>
        </w:rPr>
        <w:t xml:space="preserve">autres </w:t>
      </w:r>
      <w:r>
        <w:rPr>
          <w:rFonts w:ascii="Georgia" w:hAnsi="Georgia"/>
        </w:rPr>
        <w:lastRenderedPageBreak/>
        <w:t>métiers souvent à majorité masculine</w:t>
      </w:r>
      <w:r w:rsidR="00F16AB6">
        <w:rPr>
          <w:rFonts w:ascii="Georgia" w:hAnsi="Georgia"/>
        </w:rPr>
        <w:t xml:space="preserve">. </w:t>
      </w:r>
      <w:r>
        <w:rPr>
          <w:rFonts w:ascii="Georgia" w:hAnsi="Georgia"/>
        </w:rPr>
        <w:t xml:space="preserve">Dans le même ordre d’idées, on </w:t>
      </w:r>
      <w:r w:rsidR="00236F1F">
        <w:rPr>
          <w:rFonts w:ascii="Georgia" w:hAnsi="Georgia"/>
        </w:rPr>
        <w:t xml:space="preserve">observe </w:t>
      </w:r>
      <w:r>
        <w:rPr>
          <w:rFonts w:ascii="Georgia" w:hAnsi="Georgia"/>
        </w:rPr>
        <w:t xml:space="preserve">dans quelques pays que les femmes atteintes de la tuberculose sont stigmatisées </w:t>
      </w:r>
      <w:r w:rsidR="00424F89">
        <w:rPr>
          <w:rFonts w:ascii="Georgia" w:hAnsi="Georgia"/>
        </w:rPr>
        <w:t xml:space="preserve">parce que la </w:t>
      </w:r>
      <w:r>
        <w:rPr>
          <w:rFonts w:ascii="Georgia" w:hAnsi="Georgia"/>
        </w:rPr>
        <w:t xml:space="preserve">croyance </w:t>
      </w:r>
      <w:r w:rsidR="00424F89">
        <w:rPr>
          <w:rFonts w:ascii="Georgia" w:hAnsi="Georgia"/>
        </w:rPr>
        <w:t xml:space="preserve">populaire veut </w:t>
      </w:r>
      <w:r>
        <w:rPr>
          <w:rFonts w:ascii="Georgia" w:hAnsi="Georgia"/>
        </w:rPr>
        <w:t>qu</w:t>
      </w:r>
      <w:r w:rsidR="000D04EB">
        <w:rPr>
          <w:rFonts w:ascii="Georgia" w:hAnsi="Georgia"/>
        </w:rPr>
        <w:t>’</w:t>
      </w:r>
      <w:r>
        <w:rPr>
          <w:rFonts w:ascii="Georgia" w:hAnsi="Georgia"/>
        </w:rPr>
        <w:t xml:space="preserve">une femme qui a eu la tuberculose ne </w:t>
      </w:r>
      <w:r w:rsidR="00F74751">
        <w:rPr>
          <w:rFonts w:ascii="Georgia" w:hAnsi="Georgia"/>
        </w:rPr>
        <w:t xml:space="preserve">peut </w:t>
      </w:r>
      <w:r>
        <w:rPr>
          <w:rFonts w:ascii="Georgia" w:hAnsi="Georgia"/>
        </w:rPr>
        <w:t xml:space="preserve">pas </w:t>
      </w:r>
      <w:r w:rsidR="00730362">
        <w:rPr>
          <w:rFonts w:ascii="Georgia" w:hAnsi="Georgia"/>
        </w:rPr>
        <w:t>enfanter</w:t>
      </w:r>
      <w:r>
        <w:rPr>
          <w:rFonts w:ascii="Georgia" w:hAnsi="Georgia"/>
        </w:rPr>
        <w:t xml:space="preserve"> ou est souillée</w:t>
      </w:r>
      <w:r w:rsidR="00F16AB6">
        <w:rPr>
          <w:rFonts w:ascii="Georgia" w:hAnsi="Georgia"/>
        </w:rPr>
        <w:t xml:space="preserve">. </w:t>
      </w:r>
      <w:r w:rsidR="0096790C">
        <w:rPr>
          <w:rFonts w:ascii="Georgia" w:hAnsi="Georgia"/>
        </w:rPr>
        <w:t>Plusieurs évaluations mentionnent l</w:t>
      </w:r>
      <w:r w:rsidR="000D04EB">
        <w:rPr>
          <w:rFonts w:ascii="Georgia" w:hAnsi="Georgia"/>
        </w:rPr>
        <w:t>’</w:t>
      </w:r>
      <w:r>
        <w:rPr>
          <w:rFonts w:ascii="Georgia" w:hAnsi="Georgia"/>
        </w:rPr>
        <w:t>absence d’un soutien qui permettrait aux ONG et aux groupes de patients de renforcer leur capacité à reconnaître et à s</w:t>
      </w:r>
      <w:r w:rsidR="000D04EB">
        <w:rPr>
          <w:rFonts w:ascii="Georgia" w:hAnsi="Georgia"/>
        </w:rPr>
        <w:t>’</w:t>
      </w:r>
      <w:r>
        <w:rPr>
          <w:rFonts w:ascii="Georgia" w:hAnsi="Georgia"/>
        </w:rPr>
        <w:t>attaquer aux obstacles liés aux droits humains qui entravent l’accès aux services de lutte contre la tuberculose</w:t>
      </w:r>
      <w:r w:rsidR="00F16AB6">
        <w:rPr>
          <w:rFonts w:ascii="Georgia" w:hAnsi="Georgia"/>
        </w:rPr>
        <w:t xml:space="preserve">. </w:t>
      </w:r>
      <w:r>
        <w:rPr>
          <w:rFonts w:ascii="Georgia" w:hAnsi="Georgia"/>
        </w:rPr>
        <w:t>Les réponses globales aux obstacles liés aux droits humains qui entravent l’accès aux services de lutte contre la tuberculose proposées dans les évaluations de référence étaient, pour de nombreux pays, les premières propositions du genre</w:t>
      </w:r>
      <w:r w:rsidR="00F16AB6">
        <w:rPr>
          <w:rFonts w:ascii="Georgia" w:hAnsi="Georgia"/>
        </w:rPr>
        <w:t xml:space="preserve">. </w:t>
      </w:r>
    </w:p>
    <w:p w14:paraId="35D831B2" w14:textId="77777777" w:rsidR="0033724B" w:rsidRDefault="0033724B" w:rsidP="002F2DD8">
      <w:pPr>
        <w:pStyle w:val="NoSpacing"/>
        <w:rPr>
          <w:rFonts w:ascii="Georgia" w:hAnsi="Georgia" w:cstheme="minorHAnsi"/>
          <w:b/>
        </w:rPr>
      </w:pPr>
    </w:p>
    <w:p w14:paraId="41F75407" w14:textId="7C3A1C6F" w:rsidR="0033724B" w:rsidRPr="0033724B" w:rsidRDefault="002F2DD8" w:rsidP="002F2DD8">
      <w:pPr>
        <w:pStyle w:val="NoSpacing"/>
        <w:rPr>
          <w:rFonts w:ascii="Georgia" w:hAnsi="Georgia" w:cstheme="minorHAnsi"/>
          <w:color w:val="4472C4" w:themeColor="accent1"/>
        </w:rPr>
      </w:pPr>
      <w:r>
        <w:rPr>
          <w:rFonts w:ascii="Georgia" w:hAnsi="Georgia"/>
          <w:b/>
          <w:color w:val="4472C4" w:themeColor="accent1"/>
        </w:rPr>
        <w:t>La compréhension des obstacles liés aux droits humains qui entravent les services de lutte contre le paludisme est embryonnaire</w:t>
      </w:r>
      <w:r w:rsidR="00F16AB6">
        <w:rPr>
          <w:rFonts w:ascii="Georgia" w:hAnsi="Georgia"/>
          <w:color w:val="4472C4" w:themeColor="accent1"/>
        </w:rPr>
        <w:t xml:space="preserve">. </w:t>
      </w:r>
    </w:p>
    <w:p w14:paraId="485F6CA1" w14:textId="621A4B1F" w:rsidR="002F2DD8" w:rsidRPr="00F019F1" w:rsidRDefault="00DB4752" w:rsidP="002F2DD8">
      <w:pPr>
        <w:pStyle w:val="NoSpacing"/>
        <w:rPr>
          <w:rFonts w:cstheme="minorHAnsi"/>
          <w:sz w:val="24"/>
          <w:szCs w:val="24"/>
        </w:rPr>
      </w:pPr>
      <w:r>
        <w:rPr>
          <w:rFonts w:ascii="Georgia" w:hAnsi="Georgia"/>
        </w:rPr>
        <w:t>L</w:t>
      </w:r>
      <w:r w:rsidR="002F2DD8">
        <w:rPr>
          <w:rFonts w:ascii="Georgia" w:hAnsi="Georgia"/>
        </w:rPr>
        <w:t xml:space="preserve">’étude des obstacles liés aux droits humains qui entravent l’accès aux services </w:t>
      </w:r>
      <w:r>
        <w:rPr>
          <w:rFonts w:ascii="Georgia" w:hAnsi="Georgia"/>
        </w:rPr>
        <w:t xml:space="preserve">a été beaucoup plus poussée </w:t>
      </w:r>
      <w:r w:rsidR="002F2DD8">
        <w:rPr>
          <w:rFonts w:ascii="Georgia" w:hAnsi="Georgia"/>
        </w:rPr>
        <w:t>dans le cas du VIH et, dans une moindre mesure, de la tuberculose</w:t>
      </w:r>
      <w:r>
        <w:rPr>
          <w:rFonts w:ascii="Georgia" w:hAnsi="Georgia"/>
        </w:rPr>
        <w:t>, que dans le cas du paludisme</w:t>
      </w:r>
      <w:r w:rsidR="00F16AB6">
        <w:rPr>
          <w:rFonts w:ascii="Georgia" w:hAnsi="Georgia"/>
        </w:rPr>
        <w:t xml:space="preserve">. </w:t>
      </w:r>
      <w:r>
        <w:rPr>
          <w:rFonts w:ascii="Georgia" w:hAnsi="Georgia"/>
        </w:rPr>
        <w:t xml:space="preserve">Sans surprise, les </w:t>
      </w:r>
      <w:r w:rsidR="002F2DD8">
        <w:rPr>
          <w:rFonts w:ascii="Georgia" w:hAnsi="Georgia"/>
        </w:rPr>
        <w:t xml:space="preserve">quelques évaluations de référence </w:t>
      </w:r>
      <w:r w:rsidR="003E62D9">
        <w:rPr>
          <w:rFonts w:ascii="Georgia" w:hAnsi="Georgia"/>
        </w:rPr>
        <w:t xml:space="preserve">qui se sont penchées sur </w:t>
      </w:r>
      <w:r w:rsidR="002F2DD8">
        <w:rPr>
          <w:rFonts w:ascii="Georgia" w:hAnsi="Georgia"/>
        </w:rPr>
        <w:t xml:space="preserve">le paludisme </w:t>
      </w:r>
      <w:r w:rsidR="003E62D9">
        <w:rPr>
          <w:rFonts w:ascii="Georgia" w:hAnsi="Georgia"/>
        </w:rPr>
        <w:t xml:space="preserve">constatent </w:t>
      </w:r>
      <w:r w:rsidR="002F2DD8">
        <w:rPr>
          <w:rFonts w:ascii="Georgia" w:hAnsi="Georgia"/>
        </w:rPr>
        <w:t>que la réflexion sur les droits humains</w:t>
      </w:r>
      <w:r w:rsidR="003476B3">
        <w:rPr>
          <w:rFonts w:ascii="Georgia" w:hAnsi="Georgia"/>
        </w:rPr>
        <w:t>,</w:t>
      </w:r>
      <w:r w:rsidR="002F2DD8">
        <w:rPr>
          <w:rFonts w:ascii="Georgia" w:hAnsi="Georgia"/>
        </w:rPr>
        <w:t xml:space="preserve"> parmi les praticiens et les communautés affectées</w:t>
      </w:r>
      <w:r w:rsidR="003476B3">
        <w:rPr>
          <w:rFonts w:ascii="Georgia" w:hAnsi="Georgia"/>
        </w:rPr>
        <w:t>,</w:t>
      </w:r>
      <w:r w:rsidR="002F2DD8">
        <w:rPr>
          <w:rFonts w:ascii="Georgia" w:hAnsi="Georgia"/>
        </w:rPr>
        <w:t xml:space="preserve"> n</w:t>
      </w:r>
      <w:r w:rsidR="000D04EB">
        <w:rPr>
          <w:rFonts w:ascii="Georgia" w:hAnsi="Georgia"/>
        </w:rPr>
        <w:t>’</w:t>
      </w:r>
      <w:r w:rsidR="002F2DD8">
        <w:rPr>
          <w:rFonts w:ascii="Georgia" w:hAnsi="Georgia"/>
        </w:rPr>
        <w:t xml:space="preserve">est ni </w:t>
      </w:r>
      <w:r w:rsidR="0097449A">
        <w:rPr>
          <w:rFonts w:ascii="Georgia" w:hAnsi="Georgia"/>
        </w:rPr>
        <w:t>articulée</w:t>
      </w:r>
      <w:r w:rsidR="002F2DD8">
        <w:rPr>
          <w:rFonts w:ascii="Georgia" w:hAnsi="Georgia"/>
        </w:rPr>
        <w:t xml:space="preserve"> ni </w:t>
      </w:r>
      <w:r w:rsidR="00824D9B">
        <w:rPr>
          <w:rFonts w:ascii="Georgia" w:hAnsi="Georgia"/>
        </w:rPr>
        <w:t>étayée</w:t>
      </w:r>
      <w:r w:rsidR="00F16AB6">
        <w:rPr>
          <w:rFonts w:ascii="Georgia" w:hAnsi="Georgia"/>
        </w:rPr>
        <w:t xml:space="preserve">. </w:t>
      </w:r>
      <w:r w:rsidR="002F2DD8">
        <w:rPr>
          <w:rFonts w:ascii="Georgia" w:hAnsi="Georgia"/>
        </w:rPr>
        <w:t xml:space="preserve">Les évaluations auront au moins servi à amorcer des discussions, comme en Ouganda, sur les obstacles auxquels sont confrontées les femmes en raison du manque d’autonomie décisionnelle ou de maîtrise des ressources du ménage, ou </w:t>
      </w:r>
      <w:r w:rsidR="00C22374">
        <w:rPr>
          <w:rFonts w:ascii="Georgia" w:hAnsi="Georgia"/>
        </w:rPr>
        <w:t xml:space="preserve">encore </w:t>
      </w:r>
      <w:r w:rsidR="002F2DD8">
        <w:rPr>
          <w:rFonts w:ascii="Georgia" w:hAnsi="Georgia"/>
        </w:rPr>
        <w:t>sur les types d</w:t>
      </w:r>
      <w:r w:rsidR="000D04EB">
        <w:rPr>
          <w:rFonts w:ascii="Georgia" w:hAnsi="Georgia"/>
        </w:rPr>
        <w:t>’</w:t>
      </w:r>
      <w:r w:rsidR="002F2DD8">
        <w:rPr>
          <w:rFonts w:ascii="Georgia" w:hAnsi="Georgia"/>
        </w:rPr>
        <w:t xml:space="preserve">exclusion auxquels sont confrontées les populations mobiles et les migrants dans certaines parties du pays </w:t>
      </w:r>
      <w:r w:rsidR="00C22374">
        <w:rPr>
          <w:rFonts w:ascii="Georgia" w:hAnsi="Georgia"/>
        </w:rPr>
        <w:t xml:space="preserve">et </w:t>
      </w:r>
      <w:r w:rsidR="002F2DD8">
        <w:rPr>
          <w:rFonts w:ascii="Georgia" w:hAnsi="Georgia"/>
        </w:rPr>
        <w:t>qui ont conduit à une vulnérabilité accrue au paludisme</w:t>
      </w:r>
      <w:r w:rsidR="00F16AB6">
        <w:rPr>
          <w:rFonts w:ascii="Georgia" w:hAnsi="Georgia"/>
        </w:rPr>
        <w:t xml:space="preserve">. </w:t>
      </w:r>
      <w:r w:rsidR="002F2DD8">
        <w:rPr>
          <w:rFonts w:ascii="Georgia" w:hAnsi="Georgia"/>
        </w:rPr>
        <w:t xml:space="preserve">Les stratégies visant à donner aux communautés touchées </w:t>
      </w:r>
      <w:r w:rsidR="0075219F">
        <w:rPr>
          <w:rFonts w:ascii="Georgia" w:hAnsi="Georgia"/>
        </w:rPr>
        <w:t xml:space="preserve">plus d’occasions </w:t>
      </w:r>
      <w:r w:rsidR="002F2DD8">
        <w:rPr>
          <w:rFonts w:ascii="Georgia" w:hAnsi="Georgia"/>
        </w:rPr>
        <w:t>de participer sensiblement à la prise de décisions concernant les services de lutte contre le paludisme peuvent être basées sur le travail déjà réalisé en matière de droits humains dans le domaine de la tuberculose et du VIH</w:t>
      </w:r>
      <w:r w:rsidR="00F16AB6">
        <w:rPr>
          <w:rFonts w:ascii="Georgia" w:hAnsi="Georgia"/>
        </w:rPr>
        <w:t xml:space="preserve">. </w:t>
      </w:r>
      <w:r w:rsidR="002F2DD8">
        <w:rPr>
          <w:rFonts w:ascii="Georgia" w:hAnsi="Georgia"/>
        </w:rPr>
        <w:t>Comme il est indiqué dans l’évaluation de référence de l</w:t>
      </w:r>
      <w:r w:rsidR="000D04EB">
        <w:rPr>
          <w:rFonts w:ascii="Georgia" w:hAnsi="Georgia"/>
        </w:rPr>
        <w:t>’</w:t>
      </w:r>
      <w:r w:rsidR="002F2DD8">
        <w:rPr>
          <w:rFonts w:ascii="Georgia" w:hAnsi="Georgia"/>
        </w:rPr>
        <w:t xml:space="preserve">Ouganda, le nouvel outil </w:t>
      </w:r>
      <w:r w:rsidR="002F2DD8">
        <w:rPr>
          <w:rFonts w:ascii="Georgia" w:hAnsi="Georgia"/>
          <w:i/>
        </w:rPr>
        <w:t xml:space="preserve">Malaria </w:t>
      </w:r>
      <w:proofErr w:type="spellStart"/>
      <w:r w:rsidR="002F2DD8">
        <w:rPr>
          <w:rFonts w:ascii="Georgia" w:hAnsi="Georgia"/>
          <w:i/>
        </w:rPr>
        <w:t>Matchbox</w:t>
      </w:r>
      <w:proofErr w:type="spellEnd"/>
      <w:r w:rsidR="002F2DD8" w:rsidRPr="002F2DD8">
        <w:rPr>
          <w:rStyle w:val="FootnoteReference"/>
          <w:rFonts w:ascii="Georgia" w:hAnsi="Georgia" w:cstheme="minorHAnsi"/>
        </w:rPr>
        <w:footnoteReference w:id="8"/>
      </w:r>
      <w:r w:rsidR="002F2DD8">
        <w:rPr>
          <w:rFonts w:ascii="Georgia" w:hAnsi="Georgia"/>
        </w:rPr>
        <w:t>, développé avec l</w:t>
      </w:r>
      <w:r w:rsidR="000D04EB">
        <w:rPr>
          <w:rFonts w:ascii="Georgia" w:hAnsi="Georgia"/>
        </w:rPr>
        <w:t>’</w:t>
      </w:r>
      <w:r w:rsidR="002F2DD8">
        <w:rPr>
          <w:rFonts w:ascii="Georgia" w:hAnsi="Georgia"/>
        </w:rPr>
        <w:t>appui du Fonds mondial, sera utile pour les pays qui cherchent à évaluer les déterminants, sur les plans sociaux et des droits humains, de l</w:t>
      </w:r>
      <w:r w:rsidR="000D04EB">
        <w:rPr>
          <w:rFonts w:ascii="Georgia" w:hAnsi="Georgia"/>
        </w:rPr>
        <w:t>’</w:t>
      </w:r>
      <w:r w:rsidR="002F2DD8">
        <w:rPr>
          <w:rFonts w:ascii="Georgia" w:hAnsi="Georgia"/>
        </w:rPr>
        <w:t>accès à la prévention, au diagnostic et au traitement du paludisme.</w:t>
      </w:r>
    </w:p>
    <w:p w14:paraId="0FD73F66" w14:textId="77777777" w:rsidR="002F2DD8" w:rsidRPr="00026217" w:rsidRDefault="002F2DD8" w:rsidP="002F2DD8">
      <w:pPr>
        <w:pStyle w:val="NoSpacing"/>
        <w:rPr>
          <w:b/>
          <w:sz w:val="28"/>
          <w:szCs w:val="36"/>
        </w:rPr>
      </w:pPr>
    </w:p>
    <w:p w14:paraId="4FA7D68A" w14:textId="77777777" w:rsidR="002F2DD8" w:rsidRPr="0033724B" w:rsidRDefault="002F2DD8" w:rsidP="00FB7ACD">
      <w:pPr>
        <w:pStyle w:val="Heading1"/>
        <w:rPr>
          <w:rFonts w:ascii="Georgia" w:hAnsi="Georgia"/>
          <w:b/>
          <w:color w:val="auto"/>
          <w:sz w:val="24"/>
          <w:szCs w:val="24"/>
        </w:rPr>
      </w:pPr>
      <w:bookmarkStart w:id="8" w:name="_Toc63885359"/>
      <w:r>
        <w:rPr>
          <w:rFonts w:ascii="Georgia" w:hAnsi="Georgia"/>
          <w:b/>
          <w:color w:val="auto"/>
          <w:sz w:val="24"/>
        </w:rPr>
        <w:t>Limites des évaluations de référence</w:t>
      </w:r>
      <w:bookmarkEnd w:id="8"/>
    </w:p>
    <w:p w14:paraId="74DE4598" w14:textId="77777777" w:rsidR="002F2DD8" w:rsidRPr="00026217" w:rsidRDefault="002F2DD8" w:rsidP="002F2DD8">
      <w:pPr>
        <w:pStyle w:val="NoSpacing"/>
        <w:rPr>
          <w:b/>
          <w:sz w:val="28"/>
          <w:szCs w:val="36"/>
        </w:rPr>
      </w:pPr>
    </w:p>
    <w:p w14:paraId="0E20D3C7" w14:textId="42E31950" w:rsidR="002F2DD8" w:rsidRPr="002F2DD8" w:rsidRDefault="002F2DD8" w:rsidP="002F2DD8">
      <w:pPr>
        <w:pStyle w:val="NoSpacing"/>
        <w:rPr>
          <w:rFonts w:ascii="Georgia" w:hAnsi="Georgia" w:cstheme="minorHAnsi"/>
        </w:rPr>
      </w:pPr>
      <w:r>
        <w:rPr>
          <w:rFonts w:ascii="Georgia" w:hAnsi="Georgia"/>
        </w:rPr>
        <w:t xml:space="preserve">Par nécessité, les évaluations de référence étaient des études sommaires, </w:t>
      </w:r>
      <w:r w:rsidR="00382342">
        <w:rPr>
          <w:rFonts w:ascii="Georgia" w:hAnsi="Georgia"/>
        </w:rPr>
        <w:t>assorties d’</w:t>
      </w:r>
      <w:r>
        <w:rPr>
          <w:rFonts w:ascii="Georgia" w:hAnsi="Georgia"/>
        </w:rPr>
        <w:t>une période relativement courte de collecte de données dans le pays</w:t>
      </w:r>
      <w:r w:rsidR="00F16AB6">
        <w:rPr>
          <w:rFonts w:ascii="Georgia" w:hAnsi="Georgia"/>
        </w:rPr>
        <w:t xml:space="preserve">. </w:t>
      </w:r>
      <w:r>
        <w:rPr>
          <w:rFonts w:ascii="Georgia" w:hAnsi="Georgia"/>
        </w:rPr>
        <w:t>Par conséquent, les chercheurs n’ont pas pu joindre tous les représentants des populations clés et vulnérables et les autres intervenants qu’ils souhaitaient rencontrer</w:t>
      </w:r>
      <w:r w:rsidR="00F16AB6">
        <w:rPr>
          <w:rFonts w:ascii="Georgia" w:hAnsi="Georgia"/>
        </w:rPr>
        <w:t xml:space="preserve">. </w:t>
      </w:r>
      <w:r>
        <w:rPr>
          <w:rFonts w:ascii="Georgia" w:hAnsi="Georgia"/>
        </w:rPr>
        <w:t>Dans certains pays, mais pas tous, il a été possible de réaliser l</w:t>
      </w:r>
      <w:r w:rsidR="000D04EB">
        <w:rPr>
          <w:rFonts w:ascii="Georgia" w:hAnsi="Georgia"/>
        </w:rPr>
        <w:t>’</w:t>
      </w:r>
      <w:r>
        <w:rPr>
          <w:rFonts w:ascii="Georgia" w:hAnsi="Georgia"/>
        </w:rPr>
        <w:t>évaluation par des appels téléphoniques et des échanges de courriels</w:t>
      </w:r>
      <w:r w:rsidR="00F16AB6">
        <w:rPr>
          <w:rFonts w:ascii="Georgia" w:hAnsi="Georgia"/>
        </w:rPr>
        <w:t xml:space="preserve">. </w:t>
      </w:r>
      <w:r>
        <w:rPr>
          <w:rFonts w:ascii="Georgia" w:hAnsi="Georgia"/>
        </w:rPr>
        <w:t>Certains représentants de populations clés pourraient s’être abstenus de s</w:t>
      </w:r>
      <w:r w:rsidR="000D04EB">
        <w:rPr>
          <w:rFonts w:ascii="Georgia" w:hAnsi="Georgia"/>
        </w:rPr>
        <w:t>’</w:t>
      </w:r>
      <w:r>
        <w:rPr>
          <w:rFonts w:ascii="Georgia" w:hAnsi="Georgia"/>
        </w:rPr>
        <w:t>exprimer par crainte de représailles ou de sanctions pénales</w:t>
      </w:r>
      <w:r w:rsidR="00F16AB6">
        <w:rPr>
          <w:rFonts w:ascii="Georgia" w:hAnsi="Georgia"/>
        </w:rPr>
        <w:t xml:space="preserve">. </w:t>
      </w:r>
      <w:r>
        <w:rPr>
          <w:rFonts w:ascii="Georgia" w:hAnsi="Georgia"/>
        </w:rPr>
        <w:t xml:space="preserve">Dans certains pays, il n’a été possible de rencontrer les intervenants que dans un nombre relativement restreint </w:t>
      </w:r>
      <w:r w:rsidR="00365300">
        <w:rPr>
          <w:rFonts w:ascii="Georgia" w:hAnsi="Georgia"/>
        </w:rPr>
        <w:t>de lieux</w:t>
      </w:r>
      <w:r w:rsidR="00F16AB6">
        <w:rPr>
          <w:rFonts w:ascii="Georgia" w:hAnsi="Georgia"/>
        </w:rPr>
        <w:t xml:space="preserve">. </w:t>
      </w:r>
      <w:r>
        <w:rPr>
          <w:rFonts w:ascii="Georgia" w:hAnsi="Georgia"/>
        </w:rPr>
        <w:t xml:space="preserve">On justifie la sélection de ces </w:t>
      </w:r>
      <w:r w:rsidR="00D61881">
        <w:rPr>
          <w:rFonts w:ascii="Georgia" w:hAnsi="Georgia"/>
        </w:rPr>
        <w:t xml:space="preserve">lieux </w:t>
      </w:r>
      <w:r>
        <w:rPr>
          <w:rFonts w:ascii="Georgia" w:hAnsi="Georgia"/>
        </w:rPr>
        <w:t>dans les évaluations de référence, par exemple en soulignant que les chercheurs se sont concentrés sur une zone à impact élevé pour les trois maladies ou sur des endroits où des groupes de population</w:t>
      </w:r>
      <w:r w:rsidR="000D04EB">
        <w:rPr>
          <w:rFonts w:ascii="Georgia" w:hAnsi="Georgia"/>
        </w:rPr>
        <w:t>s</w:t>
      </w:r>
      <w:r>
        <w:rPr>
          <w:rFonts w:ascii="Georgia" w:hAnsi="Georgia"/>
        </w:rPr>
        <w:t xml:space="preserve"> clés étaient présents, mais cette sélecti</w:t>
      </w:r>
      <w:r w:rsidR="0050308D">
        <w:rPr>
          <w:rFonts w:ascii="Georgia" w:hAnsi="Georgia"/>
        </w:rPr>
        <w:t>on</w:t>
      </w:r>
      <w:r>
        <w:rPr>
          <w:rFonts w:ascii="Georgia" w:hAnsi="Georgia"/>
        </w:rPr>
        <w:t xml:space="preserve"> </w:t>
      </w:r>
      <w:r w:rsidR="00432C5E">
        <w:rPr>
          <w:rFonts w:ascii="Georgia" w:hAnsi="Georgia"/>
        </w:rPr>
        <w:t xml:space="preserve">entraîne </w:t>
      </w:r>
      <w:r w:rsidR="00124F07">
        <w:rPr>
          <w:rFonts w:ascii="Georgia" w:hAnsi="Georgia"/>
        </w:rPr>
        <w:t>inévitablement</w:t>
      </w:r>
      <w:r>
        <w:rPr>
          <w:rFonts w:ascii="Georgia" w:hAnsi="Georgia"/>
        </w:rPr>
        <w:t xml:space="preserve"> </w:t>
      </w:r>
      <w:r w:rsidR="00432C5E">
        <w:rPr>
          <w:rFonts w:ascii="Georgia" w:hAnsi="Georgia"/>
        </w:rPr>
        <w:t xml:space="preserve">l’exclusion </w:t>
      </w:r>
      <w:r>
        <w:rPr>
          <w:rFonts w:ascii="Georgia" w:hAnsi="Georgia"/>
        </w:rPr>
        <w:t>d’autres lieux et populations d</w:t>
      </w:r>
      <w:r w:rsidR="000D04EB">
        <w:rPr>
          <w:rFonts w:ascii="Georgia" w:hAnsi="Georgia"/>
        </w:rPr>
        <w:t>’</w:t>
      </w:r>
      <w:r>
        <w:rPr>
          <w:rFonts w:ascii="Georgia" w:hAnsi="Georgia"/>
        </w:rPr>
        <w:t>intérêt.</w:t>
      </w:r>
    </w:p>
    <w:p w14:paraId="1C694100" w14:textId="77777777" w:rsidR="002F2DD8" w:rsidRPr="002F2DD8" w:rsidRDefault="002F2DD8" w:rsidP="002F2DD8">
      <w:pPr>
        <w:pStyle w:val="NoSpacing"/>
        <w:rPr>
          <w:rFonts w:ascii="Georgia" w:hAnsi="Georgia" w:cstheme="minorHAnsi"/>
        </w:rPr>
      </w:pPr>
    </w:p>
    <w:p w14:paraId="0CEF7053" w14:textId="17498499" w:rsidR="002F2DD8" w:rsidRPr="002F2DD8" w:rsidRDefault="002F2DD8" w:rsidP="002F2DD8">
      <w:pPr>
        <w:pStyle w:val="NoSpacing"/>
        <w:rPr>
          <w:rFonts w:ascii="Georgia" w:hAnsi="Georgia" w:cstheme="minorHAnsi"/>
        </w:rPr>
      </w:pPr>
      <w:r>
        <w:rPr>
          <w:rFonts w:ascii="Georgia" w:hAnsi="Georgia"/>
        </w:rPr>
        <w:t xml:space="preserve">Au début de l’initiative </w:t>
      </w:r>
      <w:r w:rsidRPr="00167641">
        <w:rPr>
          <w:rFonts w:ascii="Georgia" w:hAnsi="Georgia"/>
          <w:iCs/>
        </w:rPr>
        <w:t>« Lever les obstacles »</w:t>
      </w:r>
      <w:r>
        <w:rPr>
          <w:rFonts w:ascii="Georgia" w:hAnsi="Georgia"/>
        </w:rPr>
        <w:t xml:space="preserve">, </w:t>
      </w:r>
      <w:r w:rsidR="004B31EC">
        <w:rPr>
          <w:rFonts w:ascii="Georgia" w:hAnsi="Georgia"/>
        </w:rPr>
        <w:t xml:space="preserve">on espérait </w:t>
      </w:r>
      <w:r>
        <w:rPr>
          <w:rFonts w:ascii="Georgia" w:hAnsi="Georgia"/>
        </w:rPr>
        <w:t xml:space="preserve">que les évaluations de base </w:t>
      </w:r>
      <w:r w:rsidR="00024D92">
        <w:rPr>
          <w:rFonts w:ascii="Georgia" w:hAnsi="Georgia"/>
        </w:rPr>
        <w:t xml:space="preserve">seraient </w:t>
      </w:r>
      <w:r>
        <w:rPr>
          <w:rFonts w:ascii="Georgia" w:hAnsi="Georgia"/>
        </w:rPr>
        <w:t xml:space="preserve">achevées à temps pour étayer les demandes de financement supplémentaire des pays dans le </w:t>
      </w:r>
      <w:r>
        <w:rPr>
          <w:rFonts w:ascii="Georgia" w:hAnsi="Georgia"/>
        </w:rPr>
        <w:lastRenderedPageBreak/>
        <w:t>cadre de l’initiative</w:t>
      </w:r>
      <w:r w:rsidR="00F16AB6">
        <w:rPr>
          <w:rFonts w:ascii="Georgia" w:hAnsi="Georgia"/>
        </w:rPr>
        <w:t xml:space="preserve">. </w:t>
      </w:r>
      <w:r>
        <w:rPr>
          <w:rFonts w:ascii="Georgia" w:hAnsi="Georgia"/>
        </w:rPr>
        <w:t xml:space="preserve">Malheureusement, les évaluations de référence ont été retardées dans quelques pays, et </w:t>
      </w:r>
      <w:r w:rsidR="003A5B53">
        <w:rPr>
          <w:rFonts w:ascii="Georgia" w:hAnsi="Georgia"/>
        </w:rPr>
        <w:t xml:space="preserve">autant </w:t>
      </w:r>
      <w:r w:rsidR="008F543A">
        <w:rPr>
          <w:rFonts w:ascii="Georgia" w:hAnsi="Georgia"/>
        </w:rPr>
        <w:t xml:space="preserve">de </w:t>
      </w:r>
      <w:r>
        <w:rPr>
          <w:rFonts w:ascii="Georgia" w:hAnsi="Georgia"/>
        </w:rPr>
        <w:t>demandes de fonds de contrepartie n</w:t>
      </w:r>
      <w:r w:rsidR="000D04EB">
        <w:rPr>
          <w:rFonts w:ascii="Georgia" w:hAnsi="Georgia"/>
        </w:rPr>
        <w:t>’</w:t>
      </w:r>
      <w:r>
        <w:rPr>
          <w:rFonts w:ascii="Georgia" w:hAnsi="Georgia"/>
        </w:rPr>
        <w:t xml:space="preserve">ont </w:t>
      </w:r>
      <w:r w:rsidR="00A5523A">
        <w:rPr>
          <w:rFonts w:ascii="Georgia" w:hAnsi="Georgia"/>
        </w:rPr>
        <w:t xml:space="preserve">pu </w:t>
      </w:r>
      <w:r>
        <w:rPr>
          <w:rFonts w:ascii="Georgia" w:hAnsi="Georgia"/>
        </w:rPr>
        <w:t>bénéfici</w:t>
      </w:r>
      <w:r w:rsidR="00A5523A">
        <w:rPr>
          <w:rFonts w:ascii="Georgia" w:hAnsi="Georgia"/>
        </w:rPr>
        <w:t>er</w:t>
      </w:r>
      <w:r>
        <w:rPr>
          <w:rFonts w:ascii="Georgia" w:hAnsi="Georgia"/>
        </w:rPr>
        <w:t xml:space="preserve"> de </w:t>
      </w:r>
      <w:r w:rsidR="008F543A">
        <w:rPr>
          <w:rFonts w:ascii="Georgia" w:hAnsi="Georgia"/>
        </w:rPr>
        <w:t>l’analyse</w:t>
      </w:r>
      <w:r w:rsidR="00F16AB6">
        <w:rPr>
          <w:rFonts w:ascii="Georgia" w:hAnsi="Georgia"/>
        </w:rPr>
        <w:t xml:space="preserve">. </w:t>
      </w:r>
      <w:r>
        <w:rPr>
          <w:rFonts w:ascii="Georgia" w:hAnsi="Georgia"/>
        </w:rPr>
        <w:t>Dans certains cas, les retards étaient attribuables à l</w:t>
      </w:r>
      <w:r w:rsidR="000D04EB">
        <w:rPr>
          <w:rFonts w:ascii="Georgia" w:hAnsi="Georgia"/>
        </w:rPr>
        <w:t>’</w:t>
      </w:r>
      <w:r>
        <w:rPr>
          <w:rFonts w:ascii="Georgia" w:hAnsi="Georgia"/>
        </w:rPr>
        <w:t>approbation des évaluations par un comité d’éthique</w:t>
      </w:r>
      <w:r w:rsidR="00F16AB6">
        <w:rPr>
          <w:rFonts w:ascii="Georgia" w:hAnsi="Georgia"/>
        </w:rPr>
        <w:t xml:space="preserve">. </w:t>
      </w:r>
    </w:p>
    <w:p w14:paraId="58B4D307" w14:textId="77777777" w:rsidR="002F2DD8" w:rsidRPr="002F2DD8" w:rsidRDefault="002F2DD8" w:rsidP="002F2DD8">
      <w:pPr>
        <w:pStyle w:val="NoSpacing"/>
        <w:rPr>
          <w:rFonts w:ascii="Georgia" w:hAnsi="Georgia" w:cstheme="minorHAnsi"/>
        </w:rPr>
      </w:pPr>
    </w:p>
    <w:p w14:paraId="2C109A32" w14:textId="4D0015D6" w:rsidR="002F2DD8" w:rsidRPr="002F2DD8" w:rsidRDefault="002F2DD8" w:rsidP="002F2DD8">
      <w:pPr>
        <w:pStyle w:val="NoSpacing"/>
        <w:rPr>
          <w:rFonts w:ascii="Georgia" w:hAnsi="Georgia" w:cstheme="minorHAnsi"/>
        </w:rPr>
      </w:pPr>
      <w:r>
        <w:rPr>
          <w:rFonts w:ascii="Georgia" w:hAnsi="Georgia"/>
        </w:rPr>
        <w:t>Les équipes de chercheurs ont signalé que les estimations des coûts étaient particulièrement difficiles</w:t>
      </w:r>
      <w:r w:rsidR="00F16AB6">
        <w:rPr>
          <w:rFonts w:ascii="Georgia" w:hAnsi="Georgia"/>
        </w:rPr>
        <w:t xml:space="preserve">. </w:t>
      </w:r>
      <w:r>
        <w:rPr>
          <w:rFonts w:ascii="Georgia" w:hAnsi="Georgia"/>
        </w:rPr>
        <w:t>Dans de nombreux cas, les gestionnaires des programmes ne disposaient pas d’information fiable sur les coûts fixes et variables des programmes</w:t>
      </w:r>
      <w:r w:rsidR="001E5A4B">
        <w:rPr>
          <w:rFonts w:ascii="Georgia" w:hAnsi="Georgia"/>
        </w:rPr>
        <w:t>,</w:t>
      </w:r>
      <w:r>
        <w:rPr>
          <w:rFonts w:ascii="Georgia" w:hAnsi="Georgia"/>
        </w:rPr>
        <w:t xml:space="preserve"> </w:t>
      </w:r>
      <w:r w:rsidR="001E5A4B">
        <w:rPr>
          <w:rFonts w:ascii="Georgia" w:hAnsi="Georgia"/>
        </w:rPr>
        <w:t xml:space="preserve">ni </w:t>
      </w:r>
      <w:r>
        <w:rPr>
          <w:rFonts w:ascii="Georgia" w:hAnsi="Georgia"/>
        </w:rPr>
        <w:t>en mesure de projeter les coûts d’une intensification de leurs activités</w:t>
      </w:r>
      <w:r w:rsidR="00F16AB6">
        <w:rPr>
          <w:rFonts w:ascii="Georgia" w:hAnsi="Georgia"/>
        </w:rPr>
        <w:t xml:space="preserve">. </w:t>
      </w:r>
      <w:r>
        <w:rPr>
          <w:rFonts w:ascii="Georgia" w:hAnsi="Georgia"/>
        </w:rPr>
        <w:t>Même les programmes qui avaient été évalués avec une certaine rigueur ne disposaient pas, dans bien des cas, d’information fiable sur les coûts ou le rapport coût/efficacité</w:t>
      </w:r>
      <w:r w:rsidR="00F16AB6">
        <w:rPr>
          <w:rFonts w:ascii="Georgia" w:hAnsi="Georgia"/>
        </w:rPr>
        <w:t xml:space="preserve">. </w:t>
      </w:r>
      <w:r>
        <w:rPr>
          <w:rFonts w:ascii="Georgia" w:hAnsi="Georgia"/>
        </w:rPr>
        <w:t>Les chercheurs ont noté que, dans certains cas, les projections des coûts d</w:t>
      </w:r>
      <w:r w:rsidR="000D04EB">
        <w:rPr>
          <w:rFonts w:ascii="Georgia" w:hAnsi="Georgia"/>
        </w:rPr>
        <w:t>’</w:t>
      </w:r>
      <w:r>
        <w:rPr>
          <w:rFonts w:ascii="Georgia" w:hAnsi="Georgia"/>
        </w:rPr>
        <w:t>un programme quinquennal complet visant à réduire les obstacles n’étaient pas alignées avec les coûts des programmes existants.</w:t>
      </w:r>
    </w:p>
    <w:p w14:paraId="13F84429" w14:textId="77777777" w:rsidR="002F2DD8" w:rsidRPr="002F2DD8" w:rsidRDefault="002F2DD8" w:rsidP="002F2DD8">
      <w:pPr>
        <w:pStyle w:val="NoSpacing"/>
        <w:rPr>
          <w:rFonts w:ascii="Georgia" w:hAnsi="Georgia" w:cstheme="minorHAnsi"/>
        </w:rPr>
      </w:pPr>
    </w:p>
    <w:p w14:paraId="365BA420" w14:textId="77777777" w:rsidR="002F2DD8" w:rsidRPr="002F2DD8" w:rsidRDefault="002F2DD8" w:rsidP="002F2DD8">
      <w:pPr>
        <w:pStyle w:val="NoSpacing"/>
        <w:rPr>
          <w:rFonts w:ascii="Georgia" w:hAnsi="Georgia" w:cstheme="minorHAnsi"/>
        </w:rPr>
      </w:pPr>
      <w:r>
        <w:rPr>
          <w:rFonts w:ascii="Georgia" w:hAnsi="Georgia"/>
        </w:rPr>
        <w:t>L’une des difficultés relatives aux données est bien décrite dans l’évaluation de référence de l’Afrique du Sud :</w:t>
      </w:r>
    </w:p>
    <w:p w14:paraId="74B4212F" w14:textId="6FD8164C" w:rsidR="002F2DD8" w:rsidRPr="00AD2E1E" w:rsidRDefault="002F2DD8" w:rsidP="002F2DD8">
      <w:pPr>
        <w:pStyle w:val="NoSpacing"/>
        <w:ind w:left="720"/>
        <w:rPr>
          <w:rFonts w:ascii="Georgia" w:hAnsi="Georgia" w:cstheme="minorHAnsi"/>
          <w:i/>
          <w:iCs/>
        </w:rPr>
      </w:pPr>
      <w:r w:rsidRPr="00AD2E1E">
        <w:rPr>
          <w:rFonts w:ascii="Georgia" w:hAnsi="Georgia"/>
          <w:i/>
          <w:iCs/>
        </w:rPr>
        <w:t>Les chercheurs ont relevé un manque criant de données quantitatives à jour et exhaustives sur un grand nombre d</w:t>
      </w:r>
      <w:r w:rsidR="000D04EB" w:rsidRPr="00AD2E1E">
        <w:rPr>
          <w:rFonts w:ascii="Georgia" w:hAnsi="Georgia"/>
          <w:i/>
          <w:iCs/>
        </w:rPr>
        <w:t>’</w:t>
      </w:r>
      <w:r w:rsidRPr="00AD2E1E">
        <w:rPr>
          <w:rFonts w:ascii="Georgia" w:hAnsi="Georgia"/>
          <w:i/>
          <w:iCs/>
        </w:rPr>
        <w:t>obstacles liés aux droits humains et au genre</w:t>
      </w:r>
      <w:r w:rsidR="00F16AB6" w:rsidRPr="00AD2E1E">
        <w:rPr>
          <w:rFonts w:ascii="Georgia" w:hAnsi="Georgia"/>
          <w:i/>
          <w:iCs/>
        </w:rPr>
        <w:t xml:space="preserve">. </w:t>
      </w:r>
      <w:r w:rsidRPr="00AD2E1E">
        <w:rPr>
          <w:rFonts w:ascii="Georgia" w:hAnsi="Georgia"/>
          <w:i/>
          <w:iCs/>
        </w:rPr>
        <w:t xml:space="preserve">Par conséquent, nous courons le risque de fonder indûment notre analyse sur des rapports individuels ou anecdotiques ou </w:t>
      </w:r>
      <w:r w:rsidR="00654830">
        <w:rPr>
          <w:rFonts w:ascii="Georgia" w:hAnsi="Georgia"/>
          <w:i/>
          <w:iCs/>
        </w:rPr>
        <w:t xml:space="preserve">sur </w:t>
      </w:r>
      <w:r w:rsidRPr="00AD2E1E">
        <w:rPr>
          <w:rFonts w:ascii="Georgia" w:hAnsi="Georgia"/>
          <w:i/>
          <w:iCs/>
        </w:rPr>
        <w:t>des perspectives qui pourraient, dans certains cas, ne pas correspondre à la réalité du pays dans son ensemble.</w:t>
      </w:r>
      <w:r w:rsidRPr="00AD2E1E">
        <w:rPr>
          <w:rStyle w:val="FootnoteReference"/>
          <w:rFonts w:ascii="Georgia" w:hAnsi="Georgia" w:cstheme="minorHAnsi"/>
          <w:i/>
          <w:iCs/>
        </w:rPr>
        <w:footnoteReference w:id="9"/>
      </w:r>
    </w:p>
    <w:p w14:paraId="3D6A05CE" w14:textId="77777777" w:rsidR="002F2DD8" w:rsidRPr="002F2DD8" w:rsidRDefault="002F2DD8" w:rsidP="002F2DD8">
      <w:pPr>
        <w:pStyle w:val="NoSpacing"/>
        <w:rPr>
          <w:rFonts w:ascii="Georgia" w:hAnsi="Georgia" w:cstheme="minorHAnsi"/>
        </w:rPr>
      </w:pPr>
      <w:r>
        <w:rPr>
          <w:rFonts w:ascii="Georgia" w:hAnsi="Georgia"/>
        </w:rPr>
        <w:t xml:space="preserve"> </w:t>
      </w:r>
    </w:p>
    <w:p w14:paraId="276D81E2" w14:textId="780DF94F" w:rsidR="002F2DD8" w:rsidRPr="002F2DD8" w:rsidRDefault="002F2DD8" w:rsidP="002F2DD8">
      <w:pPr>
        <w:pStyle w:val="NoSpacing"/>
        <w:rPr>
          <w:rFonts w:ascii="Georgia" w:hAnsi="Georgia" w:cstheme="minorHAnsi"/>
        </w:rPr>
      </w:pPr>
      <w:r>
        <w:rPr>
          <w:rFonts w:ascii="Georgia" w:hAnsi="Georgia"/>
        </w:rPr>
        <w:t>Dans de très rares cas, les chercheurs ont pu compter sur des données crédibles tirées d’évaluations rigoureuses ou de sondages auprès de la population</w:t>
      </w:r>
      <w:r w:rsidR="00F16AB6">
        <w:rPr>
          <w:rFonts w:ascii="Georgia" w:hAnsi="Georgia"/>
        </w:rPr>
        <w:t xml:space="preserve">. </w:t>
      </w:r>
      <w:r w:rsidR="00FD4D2A">
        <w:rPr>
          <w:rFonts w:ascii="Georgia" w:hAnsi="Georgia"/>
        </w:rPr>
        <w:t xml:space="preserve">En revanche il </w:t>
      </w:r>
      <w:r>
        <w:rPr>
          <w:rFonts w:ascii="Georgia" w:hAnsi="Georgia"/>
        </w:rPr>
        <w:t>a fallu</w:t>
      </w:r>
      <w:r w:rsidR="00FD4D2A">
        <w:rPr>
          <w:rFonts w:ascii="Georgia" w:hAnsi="Georgia"/>
        </w:rPr>
        <w:t xml:space="preserve">, dans </w:t>
      </w:r>
      <w:r>
        <w:rPr>
          <w:rFonts w:ascii="Georgia" w:hAnsi="Georgia"/>
        </w:rPr>
        <w:t xml:space="preserve">bien </w:t>
      </w:r>
      <w:r w:rsidR="00FD4D2A">
        <w:rPr>
          <w:rFonts w:ascii="Georgia" w:hAnsi="Georgia"/>
        </w:rPr>
        <w:t>d’autres cas</w:t>
      </w:r>
      <w:r>
        <w:rPr>
          <w:rFonts w:ascii="Georgia" w:hAnsi="Georgia"/>
        </w:rPr>
        <w:t xml:space="preserve">, se contenter de rapports anecdotiques, </w:t>
      </w:r>
      <w:r w:rsidR="004B2BC8">
        <w:rPr>
          <w:rFonts w:ascii="Georgia" w:hAnsi="Georgia"/>
        </w:rPr>
        <w:t xml:space="preserve">qui ont </w:t>
      </w:r>
      <w:r w:rsidR="0065337D">
        <w:rPr>
          <w:rFonts w:ascii="Georgia" w:hAnsi="Georgia"/>
        </w:rPr>
        <w:t xml:space="preserve">malgré tout </w:t>
      </w:r>
      <w:r w:rsidR="004B2BC8">
        <w:rPr>
          <w:rFonts w:ascii="Georgia" w:hAnsi="Georgia"/>
        </w:rPr>
        <w:t xml:space="preserve">permis </w:t>
      </w:r>
      <w:r>
        <w:rPr>
          <w:rFonts w:ascii="Georgia" w:hAnsi="Georgia"/>
        </w:rPr>
        <w:t>de recueillir de précieuses informations</w:t>
      </w:r>
      <w:r w:rsidR="00F16AB6">
        <w:rPr>
          <w:rFonts w:ascii="Georgia" w:hAnsi="Georgia"/>
        </w:rPr>
        <w:t xml:space="preserve">. </w:t>
      </w:r>
    </w:p>
    <w:p w14:paraId="2F1C90F9" w14:textId="77777777" w:rsidR="002F2DD8" w:rsidRPr="002F2DD8" w:rsidRDefault="002F2DD8" w:rsidP="002F2DD8">
      <w:pPr>
        <w:pStyle w:val="NoSpacing"/>
        <w:rPr>
          <w:rFonts w:ascii="Georgia" w:hAnsi="Georgia" w:cstheme="minorHAnsi"/>
        </w:rPr>
      </w:pPr>
    </w:p>
    <w:p w14:paraId="75F25A13" w14:textId="77777777" w:rsidR="002F2DD8" w:rsidRPr="0033724B" w:rsidRDefault="002F2DD8" w:rsidP="00FB7ACD">
      <w:pPr>
        <w:pStyle w:val="Heading1"/>
        <w:rPr>
          <w:rFonts w:ascii="Georgia" w:hAnsi="Georgia"/>
          <w:b/>
          <w:color w:val="auto"/>
          <w:sz w:val="24"/>
          <w:szCs w:val="24"/>
        </w:rPr>
      </w:pPr>
      <w:bookmarkStart w:id="9" w:name="_Toc63885360"/>
      <w:r>
        <w:rPr>
          <w:rFonts w:ascii="Georgia" w:hAnsi="Georgia"/>
          <w:b/>
          <w:color w:val="auto"/>
          <w:sz w:val="24"/>
        </w:rPr>
        <w:t>Conclusion</w:t>
      </w:r>
      <w:bookmarkEnd w:id="9"/>
    </w:p>
    <w:p w14:paraId="6D767EE4" w14:textId="77777777" w:rsidR="002F2DD8" w:rsidRPr="00026217" w:rsidRDefault="002F2DD8" w:rsidP="002F2DD8">
      <w:pPr>
        <w:pStyle w:val="NoSpacing"/>
        <w:rPr>
          <w:b/>
          <w:sz w:val="28"/>
          <w:szCs w:val="36"/>
        </w:rPr>
      </w:pPr>
    </w:p>
    <w:p w14:paraId="75EED18F" w14:textId="61E54725" w:rsidR="002F2DD8" w:rsidRPr="002F2DD8" w:rsidRDefault="002F2DD8" w:rsidP="002F2DD8">
      <w:pPr>
        <w:pStyle w:val="NoSpacing"/>
        <w:rPr>
          <w:rFonts w:ascii="Georgia" w:hAnsi="Georgia" w:cstheme="majorHAnsi"/>
        </w:rPr>
      </w:pPr>
      <w:r>
        <w:rPr>
          <w:rFonts w:ascii="Georgia" w:hAnsi="Georgia"/>
        </w:rPr>
        <w:t>Les évaluations de référence réalisées dans les 20 pays participant à</w:t>
      </w:r>
      <w:r w:rsidR="004B01B0">
        <w:rPr>
          <w:rFonts w:ascii="Georgia" w:hAnsi="Georgia"/>
        </w:rPr>
        <w:t xml:space="preserve"> l’initiative</w:t>
      </w:r>
      <w:r>
        <w:rPr>
          <w:rFonts w:ascii="Georgia" w:hAnsi="Georgia"/>
        </w:rPr>
        <w:t xml:space="preserve"> </w:t>
      </w:r>
      <w:r w:rsidRPr="00167641">
        <w:rPr>
          <w:rFonts w:ascii="Georgia" w:hAnsi="Georgia"/>
          <w:iCs/>
        </w:rPr>
        <w:t>« Lever les obstacles »</w:t>
      </w:r>
      <w:r>
        <w:rPr>
          <w:rFonts w:ascii="Georgia" w:hAnsi="Georgia"/>
        </w:rPr>
        <w:t xml:space="preserve"> constituent une source importante d</w:t>
      </w:r>
      <w:r w:rsidR="000D04EB">
        <w:rPr>
          <w:rFonts w:ascii="Georgia" w:hAnsi="Georgia"/>
        </w:rPr>
        <w:t>’</w:t>
      </w:r>
      <w:r>
        <w:rPr>
          <w:rFonts w:ascii="Georgia" w:hAnsi="Georgia"/>
        </w:rPr>
        <w:t>informations programmatiques nouvelles et pratiques sur les obstacles liés aux droits humains qui entravent l’accès aux services de lutte contre le VIH, la tuberculose et le paludisme, sur les populations touchées par ces obstacles, sur les programmes récents ou actuels visant à lever ces obstacles et sur les moyens réalistes de mettre en œuvre une réponse globale à ces obstacles dans chacun des pays</w:t>
      </w:r>
      <w:r w:rsidR="00F16AB6">
        <w:rPr>
          <w:rFonts w:ascii="Georgia" w:hAnsi="Georgia"/>
        </w:rPr>
        <w:t xml:space="preserve">. </w:t>
      </w:r>
      <w:r>
        <w:rPr>
          <w:rFonts w:ascii="Georgia" w:hAnsi="Georgia"/>
        </w:rPr>
        <w:t>Dans la plupart des pays, les évaluations de référence ont conduit à l</w:t>
      </w:r>
      <w:r w:rsidR="000D04EB">
        <w:rPr>
          <w:rFonts w:ascii="Georgia" w:hAnsi="Georgia"/>
        </w:rPr>
        <w:t>’</w:t>
      </w:r>
      <w:r>
        <w:rPr>
          <w:rFonts w:ascii="Georgia" w:hAnsi="Georgia"/>
        </w:rPr>
        <w:t>élaboration de propositions pour un financement catalyseur des droits humains, ce qui était l’un des objectifs de « Lever les obstacles »</w:t>
      </w:r>
      <w:r w:rsidR="00F16AB6">
        <w:rPr>
          <w:rFonts w:ascii="Georgia" w:hAnsi="Georgia"/>
        </w:rPr>
        <w:t xml:space="preserve">. </w:t>
      </w:r>
      <w:r>
        <w:rPr>
          <w:rFonts w:ascii="Georgia" w:hAnsi="Georgia"/>
        </w:rPr>
        <w:t xml:space="preserve">Dans tous les pays, les évaluations de référence ont orienté les discussions ultérieures entre les </w:t>
      </w:r>
      <w:r w:rsidR="00474E80">
        <w:rPr>
          <w:rFonts w:ascii="Georgia" w:hAnsi="Georgia"/>
        </w:rPr>
        <w:t xml:space="preserve">parties prenantes </w:t>
      </w:r>
      <w:r>
        <w:rPr>
          <w:rFonts w:ascii="Georgia" w:hAnsi="Georgia"/>
        </w:rPr>
        <w:t>sur les stratégies et les actions visant le développement d’une réponse globale et à plus grande échelle aux obstacles liés aux droits humains qui entravent l’accès aux services de santé.</w:t>
      </w:r>
    </w:p>
    <w:p w14:paraId="65EA47F8" w14:textId="77777777" w:rsidR="002F2DD8" w:rsidRPr="002F2DD8" w:rsidRDefault="002F2DD8" w:rsidP="002F2DD8">
      <w:pPr>
        <w:pStyle w:val="NoSpacing"/>
        <w:rPr>
          <w:rFonts w:ascii="Georgia" w:hAnsi="Georgia" w:cstheme="majorHAnsi"/>
        </w:rPr>
      </w:pPr>
    </w:p>
    <w:p w14:paraId="67D7DA05" w14:textId="77777777" w:rsidR="002F2DD8" w:rsidRPr="002F2DD8" w:rsidRDefault="002F2DD8" w:rsidP="002F2DD8">
      <w:pPr>
        <w:pStyle w:val="NoSpacing"/>
        <w:rPr>
          <w:rFonts w:ascii="Georgia" w:hAnsi="Georgia" w:cstheme="majorHAnsi"/>
          <w:b/>
          <w:bCs/>
        </w:rPr>
      </w:pPr>
    </w:p>
    <w:p w14:paraId="5980DD10" w14:textId="77777777" w:rsidR="002F2DD8" w:rsidRDefault="002F2DD8" w:rsidP="002F2DD8">
      <w:pPr>
        <w:pStyle w:val="NoSpacing"/>
        <w:rPr>
          <w:rFonts w:cstheme="majorHAnsi"/>
          <w:b/>
          <w:bCs/>
          <w:sz w:val="24"/>
          <w:szCs w:val="24"/>
        </w:rPr>
      </w:pPr>
    </w:p>
    <w:p w14:paraId="3FAD9910" w14:textId="77777777" w:rsidR="002F2DD8" w:rsidRDefault="002F2DD8" w:rsidP="002F2DD8">
      <w:pPr>
        <w:pStyle w:val="NoSpacing"/>
        <w:rPr>
          <w:rFonts w:cstheme="majorHAnsi"/>
          <w:b/>
          <w:bCs/>
          <w:sz w:val="24"/>
          <w:szCs w:val="24"/>
        </w:rPr>
      </w:pPr>
    </w:p>
    <w:p w14:paraId="01D5C406" w14:textId="77777777" w:rsidR="002F2DD8" w:rsidRDefault="002F2DD8" w:rsidP="002F2DD8">
      <w:pPr>
        <w:pStyle w:val="NoSpacing"/>
        <w:rPr>
          <w:rFonts w:cstheme="majorHAnsi"/>
          <w:b/>
          <w:bCs/>
          <w:sz w:val="24"/>
          <w:szCs w:val="24"/>
        </w:rPr>
      </w:pPr>
    </w:p>
    <w:p w14:paraId="00CDB90E" w14:textId="77777777" w:rsidR="002F2DD8" w:rsidRDefault="002F2DD8" w:rsidP="002F2DD8">
      <w:pPr>
        <w:pStyle w:val="NoSpacing"/>
        <w:rPr>
          <w:rFonts w:cstheme="majorHAnsi"/>
          <w:b/>
          <w:bCs/>
          <w:sz w:val="24"/>
          <w:szCs w:val="24"/>
        </w:rPr>
      </w:pPr>
    </w:p>
    <w:p w14:paraId="7AA342ED" w14:textId="77777777" w:rsidR="002F2DD8" w:rsidRPr="00FB7ACD" w:rsidRDefault="002F2DD8" w:rsidP="00FB7ACD">
      <w:pPr>
        <w:outlineLvl w:val="0"/>
        <w:rPr>
          <w:rFonts w:eastAsiaTheme="majorEastAsia" w:cstheme="majorBidi"/>
          <w:b/>
          <w:sz w:val="24"/>
          <w:szCs w:val="24"/>
        </w:rPr>
      </w:pPr>
      <w:bookmarkStart w:id="10" w:name="_Toc63885361"/>
      <w:r>
        <w:rPr>
          <w:b/>
          <w:sz w:val="24"/>
        </w:rPr>
        <w:lastRenderedPageBreak/>
        <w:t>Annexe</w:t>
      </w:r>
      <w:bookmarkEnd w:id="10"/>
    </w:p>
    <w:p w14:paraId="644B7CCD" w14:textId="64B71696" w:rsidR="002F2DD8" w:rsidRPr="002F2DD8" w:rsidRDefault="002F2DD8" w:rsidP="002F2DD8">
      <w:pPr>
        <w:pStyle w:val="NoSpacing"/>
        <w:rPr>
          <w:rFonts w:ascii="Georgia" w:hAnsi="Georgia" w:cstheme="majorHAnsi"/>
          <w:b/>
          <w:bCs/>
        </w:rPr>
      </w:pPr>
      <w:r>
        <w:rPr>
          <w:rFonts w:ascii="Georgia" w:hAnsi="Georgia"/>
          <w:b/>
        </w:rPr>
        <w:t>TABLEAU : Pays participant à l’initiative «</w:t>
      </w:r>
      <w:r w:rsidR="000D04EB">
        <w:rPr>
          <w:rFonts w:ascii="Georgia" w:hAnsi="Georgia"/>
          <w:b/>
        </w:rPr>
        <w:t> </w:t>
      </w:r>
      <w:r>
        <w:rPr>
          <w:rFonts w:ascii="Georgia" w:hAnsi="Georgia"/>
          <w:b/>
        </w:rPr>
        <w:t>Lever les obstacles</w:t>
      </w:r>
      <w:r w:rsidR="000D04EB">
        <w:rPr>
          <w:rFonts w:ascii="Georgia" w:hAnsi="Georgia"/>
          <w:b/>
        </w:rPr>
        <w:t> </w:t>
      </w:r>
      <w:r>
        <w:rPr>
          <w:rFonts w:ascii="Georgia" w:hAnsi="Georgia"/>
          <w:b/>
        </w:rPr>
        <w:t>» et maladies ciblées dans les évaluations de référence</w:t>
      </w:r>
    </w:p>
    <w:p w14:paraId="3EFFA44E" w14:textId="77777777" w:rsidR="002F2DD8" w:rsidRPr="00880EEE" w:rsidRDefault="002F2DD8" w:rsidP="002F2DD8">
      <w:pPr>
        <w:pStyle w:val="NoSpacing"/>
        <w:rPr>
          <w:rFonts w:cstheme="majorHAnsi"/>
          <w:b/>
          <w:bCs/>
          <w:sz w:val="24"/>
          <w:szCs w:val="24"/>
        </w:rPr>
      </w:pPr>
    </w:p>
    <w:tbl>
      <w:tblPr>
        <w:tblStyle w:val="TableGrid"/>
        <w:tblW w:w="0" w:type="auto"/>
        <w:tblLook w:val="04A0" w:firstRow="1" w:lastRow="0" w:firstColumn="1" w:lastColumn="0" w:noHBand="0" w:noVBand="1"/>
      </w:tblPr>
      <w:tblGrid>
        <w:gridCol w:w="3211"/>
        <w:gridCol w:w="1726"/>
        <w:gridCol w:w="1855"/>
        <w:gridCol w:w="2473"/>
      </w:tblGrid>
      <w:tr w:rsidR="002F2DD8" w:rsidRPr="002F2DD8" w14:paraId="08A2E376" w14:textId="77777777" w:rsidTr="000118D7">
        <w:trPr>
          <w:trHeight w:val="552"/>
        </w:trPr>
        <w:tc>
          <w:tcPr>
            <w:tcW w:w="3211" w:type="dxa"/>
            <w:vMerge w:val="restart"/>
          </w:tcPr>
          <w:p w14:paraId="704F2A63" w14:textId="77777777" w:rsidR="002F2DD8" w:rsidRPr="002F2DD8" w:rsidRDefault="002F2DD8" w:rsidP="000118D7">
            <w:pPr>
              <w:pStyle w:val="NoSpacing"/>
              <w:rPr>
                <w:rFonts w:ascii="Georgia" w:hAnsi="Georgia" w:cstheme="minorHAnsi"/>
                <w:b/>
                <w:bCs/>
              </w:rPr>
            </w:pPr>
            <w:r>
              <w:rPr>
                <w:rFonts w:ascii="Georgia" w:hAnsi="Georgia"/>
                <w:b/>
              </w:rPr>
              <w:t>Pays</w:t>
            </w:r>
          </w:p>
        </w:tc>
        <w:tc>
          <w:tcPr>
            <w:tcW w:w="6054" w:type="dxa"/>
            <w:gridSpan w:val="3"/>
          </w:tcPr>
          <w:p w14:paraId="281A00F1" w14:textId="77777777" w:rsidR="002F2DD8" w:rsidRPr="002F2DD8" w:rsidRDefault="002F2DD8" w:rsidP="000118D7">
            <w:pPr>
              <w:pStyle w:val="NoSpacing"/>
              <w:jc w:val="center"/>
              <w:rPr>
                <w:rFonts w:ascii="Georgia" w:hAnsi="Georgia" w:cstheme="minorHAnsi"/>
                <w:b/>
                <w:bCs/>
              </w:rPr>
            </w:pPr>
            <w:r>
              <w:rPr>
                <w:rFonts w:ascii="Georgia" w:hAnsi="Georgia"/>
                <w:b/>
              </w:rPr>
              <w:t>Maladies ciblées dans les évaluations de référence</w:t>
            </w:r>
          </w:p>
        </w:tc>
      </w:tr>
      <w:tr w:rsidR="002F2DD8" w:rsidRPr="002F2DD8" w14:paraId="47E55183" w14:textId="77777777" w:rsidTr="000118D7">
        <w:trPr>
          <w:trHeight w:val="288"/>
        </w:trPr>
        <w:tc>
          <w:tcPr>
            <w:tcW w:w="3211" w:type="dxa"/>
            <w:vMerge/>
          </w:tcPr>
          <w:p w14:paraId="6BFCEB66" w14:textId="77777777" w:rsidR="002F2DD8" w:rsidRPr="002F2DD8" w:rsidRDefault="002F2DD8" w:rsidP="000118D7">
            <w:pPr>
              <w:pStyle w:val="NoSpacing"/>
              <w:rPr>
                <w:rFonts w:ascii="Georgia" w:hAnsi="Georgia" w:cstheme="minorHAnsi"/>
                <w:b/>
                <w:bCs/>
              </w:rPr>
            </w:pPr>
          </w:p>
        </w:tc>
        <w:tc>
          <w:tcPr>
            <w:tcW w:w="1726" w:type="dxa"/>
          </w:tcPr>
          <w:p w14:paraId="60DF9779" w14:textId="77777777" w:rsidR="002F2DD8" w:rsidRPr="002F2DD8" w:rsidRDefault="002F2DD8" w:rsidP="000118D7">
            <w:pPr>
              <w:pStyle w:val="NoSpacing"/>
              <w:jc w:val="center"/>
              <w:rPr>
                <w:rFonts w:ascii="Georgia" w:hAnsi="Georgia" w:cstheme="minorHAnsi"/>
                <w:b/>
                <w:bCs/>
              </w:rPr>
            </w:pPr>
            <w:r>
              <w:rPr>
                <w:rFonts w:ascii="Georgia" w:hAnsi="Georgia"/>
                <w:b/>
              </w:rPr>
              <w:t>VIH</w:t>
            </w:r>
          </w:p>
        </w:tc>
        <w:tc>
          <w:tcPr>
            <w:tcW w:w="1855" w:type="dxa"/>
          </w:tcPr>
          <w:p w14:paraId="7CC2DAB0" w14:textId="77777777" w:rsidR="002F2DD8" w:rsidRPr="002F2DD8" w:rsidRDefault="002F2DD8" w:rsidP="000118D7">
            <w:pPr>
              <w:pStyle w:val="NoSpacing"/>
              <w:jc w:val="center"/>
              <w:rPr>
                <w:rFonts w:ascii="Georgia" w:hAnsi="Georgia" w:cstheme="minorHAnsi"/>
                <w:b/>
                <w:bCs/>
              </w:rPr>
            </w:pPr>
            <w:r>
              <w:rPr>
                <w:rFonts w:ascii="Georgia" w:hAnsi="Georgia"/>
                <w:b/>
              </w:rPr>
              <w:t>Tuberculose</w:t>
            </w:r>
          </w:p>
        </w:tc>
        <w:tc>
          <w:tcPr>
            <w:tcW w:w="2473" w:type="dxa"/>
          </w:tcPr>
          <w:p w14:paraId="5A4C9B0E" w14:textId="77777777" w:rsidR="002F2DD8" w:rsidRPr="002F2DD8" w:rsidRDefault="002F2DD8" w:rsidP="000118D7">
            <w:pPr>
              <w:pStyle w:val="NoSpacing"/>
              <w:jc w:val="center"/>
              <w:rPr>
                <w:rFonts w:ascii="Georgia" w:hAnsi="Georgia" w:cstheme="minorHAnsi"/>
                <w:b/>
                <w:bCs/>
              </w:rPr>
            </w:pPr>
            <w:r>
              <w:rPr>
                <w:rFonts w:ascii="Georgia" w:hAnsi="Georgia"/>
                <w:b/>
              </w:rPr>
              <w:t>Paludisme</w:t>
            </w:r>
          </w:p>
        </w:tc>
      </w:tr>
      <w:tr w:rsidR="009B2223" w:rsidRPr="002F2DD8" w14:paraId="60B10065" w14:textId="77777777" w:rsidTr="000118D7">
        <w:trPr>
          <w:trHeight w:val="264"/>
        </w:trPr>
        <w:tc>
          <w:tcPr>
            <w:tcW w:w="3211" w:type="dxa"/>
          </w:tcPr>
          <w:p w14:paraId="56A0360E" w14:textId="54A80809" w:rsidR="009B2223" w:rsidRDefault="009B2223" w:rsidP="009B2223">
            <w:pPr>
              <w:pStyle w:val="NoSpacing"/>
              <w:rPr>
                <w:rFonts w:ascii="Georgia" w:hAnsi="Georgia"/>
              </w:rPr>
            </w:pPr>
            <w:r>
              <w:rPr>
                <w:rFonts w:ascii="Georgia" w:hAnsi="Georgia"/>
              </w:rPr>
              <w:t>Afrique du Sud</w:t>
            </w:r>
          </w:p>
        </w:tc>
        <w:tc>
          <w:tcPr>
            <w:tcW w:w="1726" w:type="dxa"/>
          </w:tcPr>
          <w:p w14:paraId="5B46A5AE" w14:textId="4D4925BF" w:rsidR="009B2223" w:rsidRDefault="009B2223" w:rsidP="009B2223">
            <w:pPr>
              <w:pStyle w:val="NoSpacing"/>
              <w:jc w:val="center"/>
              <w:rPr>
                <w:rFonts w:ascii="Georgia" w:hAnsi="Georgia"/>
              </w:rPr>
            </w:pPr>
            <w:r>
              <w:rPr>
                <w:rFonts w:ascii="Georgia" w:hAnsi="Georgia"/>
              </w:rPr>
              <w:t>X</w:t>
            </w:r>
          </w:p>
        </w:tc>
        <w:tc>
          <w:tcPr>
            <w:tcW w:w="1855" w:type="dxa"/>
          </w:tcPr>
          <w:p w14:paraId="404EE1F2" w14:textId="0A3A007C"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2D3EE3AC" w14:textId="77777777" w:rsidR="009B2223" w:rsidRPr="002F2DD8" w:rsidRDefault="009B2223" w:rsidP="009B2223">
            <w:pPr>
              <w:pStyle w:val="NoSpacing"/>
              <w:jc w:val="center"/>
              <w:rPr>
                <w:rFonts w:ascii="Georgia" w:hAnsi="Georgia" w:cstheme="minorHAnsi"/>
              </w:rPr>
            </w:pPr>
          </w:p>
        </w:tc>
      </w:tr>
      <w:tr w:rsidR="009B2223" w:rsidRPr="002F2DD8" w14:paraId="18306608" w14:textId="77777777" w:rsidTr="000118D7">
        <w:trPr>
          <w:trHeight w:val="264"/>
        </w:trPr>
        <w:tc>
          <w:tcPr>
            <w:tcW w:w="3211" w:type="dxa"/>
          </w:tcPr>
          <w:p w14:paraId="4374D7DF" w14:textId="77777777" w:rsidR="009B2223" w:rsidRPr="002F2DD8" w:rsidRDefault="009B2223" w:rsidP="009B2223">
            <w:pPr>
              <w:pStyle w:val="NoSpacing"/>
              <w:rPr>
                <w:rFonts w:ascii="Georgia" w:hAnsi="Georgia" w:cstheme="minorHAnsi"/>
              </w:rPr>
            </w:pPr>
            <w:r>
              <w:rPr>
                <w:rFonts w:ascii="Georgia" w:hAnsi="Georgia"/>
              </w:rPr>
              <w:t>Bénin</w:t>
            </w:r>
          </w:p>
        </w:tc>
        <w:tc>
          <w:tcPr>
            <w:tcW w:w="1726" w:type="dxa"/>
          </w:tcPr>
          <w:p w14:paraId="748A5236"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7980D767" w14:textId="77777777" w:rsidR="009B2223" w:rsidRPr="002F2DD8" w:rsidRDefault="009B2223" w:rsidP="009B2223">
            <w:pPr>
              <w:pStyle w:val="NoSpacing"/>
              <w:jc w:val="center"/>
              <w:rPr>
                <w:rFonts w:ascii="Georgia" w:hAnsi="Georgia" w:cstheme="minorHAnsi"/>
              </w:rPr>
            </w:pPr>
          </w:p>
        </w:tc>
        <w:tc>
          <w:tcPr>
            <w:tcW w:w="2473" w:type="dxa"/>
          </w:tcPr>
          <w:p w14:paraId="5ED478F0" w14:textId="77777777" w:rsidR="009B2223" w:rsidRPr="002F2DD8" w:rsidRDefault="009B2223" w:rsidP="009B2223">
            <w:pPr>
              <w:pStyle w:val="NoSpacing"/>
              <w:jc w:val="center"/>
              <w:rPr>
                <w:rFonts w:ascii="Georgia" w:hAnsi="Georgia" w:cstheme="minorHAnsi"/>
              </w:rPr>
            </w:pPr>
          </w:p>
        </w:tc>
      </w:tr>
      <w:tr w:rsidR="009B2223" w:rsidRPr="002F2DD8" w14:paraId="2915E03B" w14:textId="77777777" w:rsidTr="000118D7">
        <w:trPr>
          <w:trHeight w:val="276"/>
        </w:trPr>
        <w:tc>
          <w:tcPr>
            <w:tcW w:w="3211" w:type="dxa"/>
          </w:tcPr>
          <w:p w14:paraId="13C70864" w14:textId="77777777" w:rsidR="009B2223" w:rsidRPr="002F2DD8" w:rsidRDefault="009B2223" w:rsidP="009B2223">
            <w:pPr>
              <w:pStyle w:val="NoSpacing"/>
              <w:rPr>
                <w:rFonts w:ascii="Georgia" w:hAnsi="Georgia" w:cstheme="minorHAnsi"/>
              </w:rPr>
            </w:pPr>
            <w:r>
              <w:rPr>
                <w:rFonts w:ascii="Georgia" w:hAnsi="Georgia"/>
              </w:rPr>
              <w:t>Botswana</w:t>
            </w:r>
          </w:p>
        </w:tc>
        <w:tc>
          <w:tcPr>
            <w:tcW w:w="1726" w:type="dxa"/>
          </w:tcPr>
          <w:p w14:paraId="5599A2BE"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020538A1" w14:textId="77777777" w:rsidR="009B2223" w:rsidRPr="002F2DD8" w:rsidRDefault="009B2223" w:rsidP="009B2223">
            <w:pPr>
              <w:pStyle w:val="NoSpacing"/>
              <w:jc w:val="center"/>
              <w:rPr>
                <w:rFonts w:ascii="Georgia" w:hAnsi="Georgia" w:cstheme="minorHAnsi"/>
              </w:rPr>
            </w:pPr>
          </w:p>
        </w:tc>
        <w:tc>
          <w:tcPr>
            <w:tcW w:w="2473" w:type="dxa"/>
          </w:tcPr>
          <w:p w14:paraId="1D5A37A8" w14:textId="77777777" w:rsidR="009B2223" w:rsidRPr="002F2DD8" w:rsidRDefault="009B2223" w:rsidP="009B2223">
            <w:pPr>
              <w:pStyle w:val="NoSpacing"/>
              <w:jc w:val="center"/>
              <w:rPr>
                <w:rFonts w:ascii="Georgia" w:hAnsi="Georgia" w:cstheme="minorHAnsi"/>
              </w:rPr>
            </w:pPr>
          </w:p>
        </w:tc>
      </w:tr>
      <w:tr w:rsidR="009B2223" w:rsidRPr="002F2DD8" w14:paraId="6C3461BE" w14:textId="77777777" w:rsidTr="000118D7">
        <w:trPr>
          <w:trHeight w:val="276"/>
        </w:trPr>
        <w:tc>
          <w:tcPr>
            <w:tcW w:w="3211" w:type="dxa"/>
          </w:tcPr>
          <w:p w14:paraId="47480AC1" w14:textId="77777777" w:rsidR="009B2223" w:rsidRPr="002F2DD8" w:rsidRDefault="009B2223" w:rsidP="009B2223">
            <w:pPr>
              <w:pStyle w:val="NoSpacing"/>
              <w:rPr>
                <w:rFonts w:ascii="Georgia" w:hAnsi="Georgia" w:cstheme="minorHAnsi"/>
              </w:rPr>
            </w:pPr>
            <w:r>
              <w:rPr>
                <w:rFonts w:ascii="Georgia" w:hAnsi="Georgia"/>
              </w:rPr>
              <w:t>Cameroun</w:t>
            </w:r>
          </w:p>
        </w:tc>
        <w:tc>
          <w:tcPr>
            <w:tcW w:w="1726" w:type="dxa"/>
          </w:tcPr>
          <w:p w14:paraId="31D1675B"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4976CE59"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6DD70053" w14:textId="77777777" w:rsidR="009B2223" w:rsidRPr="002F2DD8" w:rsidRDefault="009B2223" w:rsidP="009B2223">
            <w:pPr>
              <w:pStyle w:val="NoSpacing"/>
              <w:jc w:val="center"/>
              <w:rPr>
                <w:rFonts w:ascii="Georgia" w:hAnsi="Georgia" w:cstheme="minorHAnsi"/>
              </w:rPr>
            </w:pPr>
          </w:p>
        </w:tc>
      </w:tr>
      <w:tr w:rsidR="009B2223" w:rsidRPr="002F2DD8" w14:paraId="05CBA6FA" w14:textId="77777777" w:rsidTr="000118D7">
        <w:trPr>
          <w:trHeight w:val="276"/>
        </w:trPr>
        <w:tc>
          <w:tcPr>
            <w:tcW w:w="3211" w:type="dxa"/>
          </w:tcPr>
          <w:p w14:paraId="01556A63" w14:textId="77777777" w:rsidR="009B2223" w:rsidRPr="002F2DD8" w:rsidRDefault="009B2223" w:rsidP="009B2223">
            <w:pPr>
              <w:pStyle w:val="NoSpacing"/>
              <w:rPr>
                <w:rFonts w:ascii="Georgia" w:hAnsi="Georgia" w:cstheme="minorHAnsi"/>
              </w:rPr>
            </w:pPr>
            <w:r>
              <w:rPr>
                <w:rFonts w:ascii="Georgia" w:hAnsi="Georgia"/>
              </w:rPr>
              <w:t>Côte d’Ivoire</w:t>
            </w:r>
          </w:p>
        </w:tc>
        <w:tc>
          <w:tcPr>
            <w:tcW w:w="1726" w:type="dxa"/>
          </w:tcPr>
          <w:p w14:paraId="44DF04C6"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3AC6EB3C"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7C3B30CA" w14:textId="77777777" w:rsidR="009B2223" w:rsidRPr="002F2DD8" w:rsidRDefault="009B2223" w:rsidP="009B2223">
            <w:pPr>
              <w:pStyle w:val="NoSpacing"/>
              <w:jc w:val="center"/>
              <w:rPr>
                <w:rFonts w:ascii="Georgia" w:hAnsi="Georgia" w:cstheme="minorHAnsi"/>
              </w:rPr>
            </w:pPr>
          </w:p>
        </w:tc>
      </w:tr>
      <w:tr w:rsidR="009B2223" w:rsidRPr="002F2DD8" w14:paraId="0CE915E7" w14:textId="77777777" w:rsidTr="000118D7">
        <w:trPr>
          <w:trHeight w:val="276"/>
        </w:trPr>
        <w:tc>
          <w:tcPr>
            <w:tcW w:w="3211" w:type="dxa"/>
          </w:tcPr>
          <w:p w14:paraId="70D18661" w14:textId="77777777" w:rsidR="009B2223" w:rsidRPr="002F2DD8" w:rsidRDefault="009B2223" w:rsidP="009B2223">
            <w:pPr>
              <w:pStyle w:val="NoSpacing"/>
              <w:rPr>
                <w:rFonts w:ascii="Georgia" w:hAnsi="Georgia" w:cstheme="minorHAnsi"/>
              </w:rPr>
            </w:pPr>
            <w:r>
              <w:rPr>
                <w:rFonts w:ascii="Georgia" w:hAnsi="Georgia"/>
              </w:rPr>
              <w:t xml:space="preserve">Ghana </w:t>
            </w:r>
          </w:p>
        </w:tc>
        <w:tc>
          <w:tcPr>
            <w:tcW w:w="1726" w:type="dxa"/>
          </w:tcPr>
          <w:p w14:paraId="311D34F8"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4885E024" w14:textId="77777777" w:rsidR="009B2223" w:rsidRPr="002F2DD8" w:rsidRDefault="009B2223" w:rsidP="009B2223">
            <w:pPr>
              <w:pStyle w:val="NoSpacing"/>
              <w:jc w:val="center"/>
              <w:rPr>
                <w:rFonts w:ascii="Georgia" w:hAnsi="Georgia" w:cstheme="minorHAnsi"/>
              </w:rPr>
            </w:pPr>
          </w:p>
        </w:tc>
        <w:tc>
          <w:tcPr>
            <w:tcW w:w="2473" w:type="dxa"/>
          </w:tcPr>
          <w:p w14:paraId="52F49AF2" w14:textId="77777777" w:rsidR="009B2223" w:rsidRPr="002F2DD8" w:rsidRDefault="009B2223" w:rsidP="009B2223">
            <w:pPr>
              <w:pStyle w:val="NoSpacing"/>
              <w:jc w:val="center"/>
              <w:rPr>
                <w:rFonts w:ascii="Georgia" w:hAnsi="Georgia" w:cstheme="minorHAnsi"/>
              </w:rPr>
            </w:pPr>
          </w:p>
        </w:tc>
      </w:tr>
      <w:tr w:rsidR="009B2223" w:rsidRPr="002F2DD8" w14:paraId="5FA0B502" w14:textId="77777777" w:rsidTr="000118D7">
        <w:trPr>
          <w:trHeight w:val="264"/>
        </w:trPr>
        <w:tc>
          <w:tcPr>
            <w:tcW w:w="3211" w:type="dxa"/>
          </w:tcPr>
          <w:p w14:paraId="64F9E62E" w14:textId="77777777" w:rsidR="009B2223" w:rsidRPr="002F2DD8" w:rsidRDefault="009B2223" w:rsidP="009B2223">
            <w:pPr>
              <w:pStyle w:val="NoSpacing"/>
              <w:rPr>
                <w:rFonts w:ascii="Georgia" w:hAnsi="Georgia" w:cstheme="minorHAnsi"/>
              </w:rPr>
            </w:pPr>
            <w:r>
              <w:rPr>
                <w:rFonts w:ascii="Georgia" w:hAnsi="Georgia"/>
              </w:rPr>
              <w:t>Honduras</w:t>
            </w:r>
          </w:p>
        </w:tc>
        <w:tc>
          <w:tcPr>
            <w:tcW w:w="1726" w:type="dxa"/>
          </w:tcPr>
          <w:p w14:paraId="62005371"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418E02FF" w14:textId="77777777" w:rsidR="009B2223" w:rsidRPr="002F2DD8" w:rsidRDefault="009B2223" w:rsidP="009B2223">
            <w:pPr>
              <w:pStyle w:val="NoSpacing"/>
              <w:jc w:val="center"/>
              <w:rPr>
                <w:rFonts w:ascii="Georgia" w:hAnsi="Georgia" w:cstheme="minorHAnsi"/>
              </w:rPr>
            </w:pPr>
          </w:p>
        </w:tc>
        <w:tc>
          <w:tcPr>
            <w:tcW w:w="2473" w:type="dxa"/>
          </w:tcPr>
          <w:p w14:paraId="0015CE87" w14:textId="77777777" w:rsidR="009B2223" w:rsidRPr="002F2DD8" w:rsidRDefault="009B2223" w:rsidP="009B2223">
            <w:pPr>
              <w:pStyle w:val="NoSpacing"/>
              <w:jc w:val="center"/>
              <w:rPr>
                <w:rFonts w:ascii="Georgia" w:hAnsi="Georgia" w:cstheme="minorHAnsi"/>
              </w:rPr>
            </w:pPr>
          </w:p>
        </w:tc>
      </w:tr>
      <w:tr w:rsidR="009B2223" w:rsidRPr="002F2DD8" w14:paraId="1A7A7B68" w14:textId="77777777" w:rsidTr="000118D7">
        <w:trPr>
          <w:trHeight w:val="276"/>
        </w:trPr>
        <w:tc>
          <w:tcPr>
            <w:tcW w:w="3211" w:type="dxa"/>
          </w:tcPr>
          <w:p w14:paraId="334CEEC3" w14:textId="77777777" w:rsidR="009B2223" w:rsidRPr="002F2DD8" w:rsidRDefault="009B2223" w:rsidP="009B2223">
            <w:pPr>
              <w:pStyle w:val="NoSpacing"/>
              <w:rPr>
                <w:rFonts w:ascii="Georgia" w:hAnsi="Georgia" w:cstheme="minorHAnsi"/>
              </w:rPr>
            </w:pPr>
            <w:r>
              <w:rPr>
                <w:rFonts w:ascii="Georgia" w:hAnsi="Georgia"/>
              </w:rPr>
              <w:t>Indonésie</w:t>
            </w:r>
          </w:p>
        </w:tc>
        <w:tc>
          <w:tcPr>
            <w:tcW w:w="1726" w:type="dxa"/>
          </w:tcPr>
          <w:p w14:paraId="29707892"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5ACE48B0"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36C76500" w14:textId="77777777" w:rsidR="009B2223" w:rsidRPr="002F2DD8" w:rsidRDefault="009B2223" w:rsidP="009B2223">
            <w:pPr>
              <w:pStyle w:val="NoSpacing"/>
              <w:jc w:val="center"/>
              <w:rPr>
                <w:rFonts w:ascii="Georgia" w:hAnsi="Georgia" w:cstheme="minorHAnsi"/>
              </w:rPr>
            </w:pPr>
          </w:p>
        </w:tc>
      </w:tr>
      <w:tr w:rsidR="009B2223" w:rsidRPr="002F2DD8" w14:paraId="119C8B66" w14:textId="77777777" w:rsidTr="000118D7">
        <w:trPr>
          <w:trHeight w:val="276"/>
        </w:trPr>
        <w:tc>
          <w:tcPr>
            <w:tcW w:w="3211" w:type="dxa"/>
          </w:tcPr>
          <w:p w14:paraId="67DD066B" w14:textId="77777777" w:rsidR="009B2223" w:rsidRPr="002F2DD8" w:rsidRDefault="009B2223" w:rsidP="009B2223">
            <w:pPr>
              <w:pStyle w:val="NoSpacing"/>
              <w:rPr>
                <w:rFonts w:ascii="Georgia" w:hAnsi="Georgia" w:cstheme="minorHAnsi"/>
              </w:rPr>
            </w:pPr>
            <w:r>
              <w:rPr>
                <w:rFonts w:ascii="Georgia" w:hAnsi="Georgia"/>
              </w:rPr>
              <w:t>Jamaïque</w:t>
            </w:r>
          </w:p>
        </w:tc>
        <w:tc>
          <w:tcPr>
            <w:tcW w:w="1726" w:type="dxa"/>
          </w:tcPr>
          <w:p w14:paraId="254C1535"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72D66007" w14:textId="77777777" w:rsidR="009B2223" w:rsidRPr="002F2DD8" w:rsidRDefault="009B2223" w:rsidP="009B2223">
            <w:pPr>
              <w:pStyle w:val="NoSpacing"/>
              <w:jc w:val="center"/>
              <w:rPr>
                <w:rFonts w:ascii="Georgia" w:hAnsi="Georgia" w:cstheme="minorHAnsi"/>
              </w:rPr>
            </w:pPr>
          </w:p>
        </w:tc>
        <w:tc>
          <w:tcPr>
            <w:tcW w:w="2473" w:type="dxa"/>
          </w:tcPr>
          <w:p w14:paraId="252EDB37" w14:textId="77777777" w:rsidR="009B2223" w:rsidRPr="002F2DD8" w:rsidRDefault="009B2223" w:rsidP="009B2223">
            <w:pPr>
              <w:pStyle w:val="NoSpacing"/>
              <w:jc w:val="center"/>
              <w:rPr>
                <w:rFonts w:ascii="Georgia" w:hAnsi="Georgia" w:cstheme="minorHAnsi"/>
              </w:rPr>
            </w:pPr>
          </w:p>
        </w:tc>
      </w:tr>
      <w:tr w:rsidR="009B2223" w:rsidRPr="002F2DD8" w14:paraId="686CF5A9" w14:textId="77777777" w:rsidTr="000118D7">
        <w:trPr>
          <w:trHeight w:val="276"/>
        </w:trPr>
        <w:tc>
          <w:tcPr>
            <w:tcW w:w="3211" w:type="dxa"/>
          </w:tcPr>
          <w:p w14:paraId="3D9C874B" w14:textId="77777777" w:rsidR="009B2223" w:rsidRPr="002F2DD8" w:rsidRDefault="009B2223" w:rsidP="009B2223">
            <w:pPr>
              <w:pStyle w:val="NoSpacing"/>
              <w:rPr>
                <w:rFonts w:ascii="Georgia" w:hAnsi="Georgia" w:cstheme="minorHAnsi"/>
              </w:rPr>
            </w:pPr>
            <w:r>
              <w:rPr>
                <w:rFonts w:ascii="Georgia" w:hAnsi="Georgia"/>
              </w:rPr>
              <w:t>Kenya</w:t>
            </w:r>
          </w:p>
        </w:tc>
        <w:tc>
          <w:tcPr>
            <w:tcW w:w="1726" w:type="dxa"/>
          </w:tcPr>
          <w:p w14:paraId="38FF2DC6"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308BE37E"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01A31518" w14:textId="77777777" w:rsidR="009B2223" w:rsidRPr="002F2DD8" w:rsidRDefault="009B2223" w:rsidP="009B2223">
            <w:pPr>
              <w:pStyle w:val="NoSpacing"/>
              <w:jc w:val="center"/>
              <w:rPr>
                <w:rFonts w:ascii="Georgia" w:hAnsi="Georgia" w:cstheme="minorHAnsi"/>
              </w:rPr>
            </w:pPr>
            <w:r>
              <w:rPr>
                <w:rFonts w:ascii="Georgia" w:hAnsi="Georgia"/>
              </w:rPr>
              <w:t>X</w:t>
            </w:r>
          </w:p>
        </w:tc>
      </w:tr>
      <w:tr w:rsidR="009B2223" w:rsidRPr="002F2DD8" w14:paraId="601FBBBE" w14:textId="77777777" w:rsidTr="000118D7">
        <w:trPr>
          <w:trHeight w:val="276"/>
        </w:trPr>
        <w:tc>
          <w:tcPr>
            <w:tcW w:w="3211" w:type="dxa"/>
          </w:tcPr>
          <w:p w14:paraId="37193A39" w14:textId="77777777" w:rsidR="009B2223" w:rsidRPr="002F2DD8" w:rsidRDefault="009B2223" w:rsidP="009B2223">
            <w:pPr>
              <w:pStyle w:val="NoSpacing"/>
              <w:rPr>
                <w:rFonts w:ascii="Georgia" w:hAnsi="Georgia" w:cstheme="minorHAnsi"/>
              </w:rPr>
            </w:pPr>
            <w:r>
              <w:rPr>
                <w:rFonts w:ascii="Georgia" w:hAnsi="Georgia"/>
              </w:rPr>
              <w:t>Kirghizistan</w:t>
            </w:r>
          </w:p>
        </w:tc>
        <w:tc>
          <w:tcPr>
            <w:tcW w:w="1726" w:type="dxa"/>
          </w:tcPr>
          <w:p w14:paraId="5DDB7C3D"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483A20B4"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79056C7C" w14:textId="77777777" w:rsidR="009B2223" w:rsidRPr="002F2DD8" w:rsidRDefault="009B2223" w:rsidP="009B2223">
            <w:pPr>
              <w:pStyle w:val="NoSpacing"/>
              <w:jc w:val="center"/>
              <w:rPr>
                <w:rFonts w:ascii="Georgia" w:hAnsi="Georgia" w:cstheme="minorHAnsi"/>
              </w:rPr>
            </w:pPr>
          </w:p>
        </w:tc>
      </w:tr>
      <w:tr w:rsidR="009B2223" w:rsidRPr="002F2DD8" w14:paraId="0756AB1C" w14:textId="77777777" w:rsidTr="000118D7">
        <w:trPr>
          <w:trHeight w:val="276"/>
        </w:trPr>
        <w:tc>
          <w:tcPr>
            <w:tcW w:w="3211" w:type="dxa"/>
          </w:tcPr>
          <w:p w14:paraId="3C725B0A" w14:textId="77777777" w:rsidR="009B2223" w:rsidRPr="002F2DD8" w:rsidRDefault="009B2223" w:rsidP="009B2223">
            <w:pPr>
              <w:pStyle w:val="NoSpacing"/>
              <w:rPr>
                <w:rFonts w:ascii="Georgia" w:hAnsi="Georgia" w:cstheme="minorHAnsi"/>
              </w:rPr>
            </w:pPr>
            <w:r>
              <w:rPr>
                <w:rFonts w:ascii="Georgia" w:hAnsi="Georgia"/>
              </w:rPr>
              <w:t>Mozambique</w:t>
            </w:r>
          </w:p>
        </w:tc>
        <w:tc>
          <w:tcPr>
            <w:tcW w:w="1726" w:type="dxa"/>
          </w:tcPr>
          <w:p w14:paraId="0A1B6182"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577867A8"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412D710C" w14:textId="77777777" w:rsidR="009B2223" w:rsidRPr="002F2DD8" w:rsidRDefault="009B2223" w:rsidP="009B2223">
            <w:pPr>
              <w:pStyle w:val="NoSpacing"/>
              <w:jc w:val="center"/>
              <w:rPr>
                <w:rFonts w:ascii="Georgia" w:hAnsi="Georgia" w:cstheme="minorHAnsi"/>
              </w:rPr>
            </w:pPr>
          </w:p>
        </w:tc>
      </w:tr>
      <w:tr w:rsidR="009B2223" w:rsidRPr="002F2DD8" w14:paraId="08BF1554" w14:textId="77777777" w:rsidTr="000118D7">
        <w:trPr>
          <w:trHeight w:val="264"/>
        </w:trPr>
        <w:tc>
          <w:tcPr>
            <w:tcW w:w="3211" w:type="dxa"/>
          </w:tcPr>
          <w:p w14:paraId="22EF0B2B" w14:textId="77777777" w:rsidR="009B2223" w:rsidRPr="002F2DD8" w:rsidRDefault="009B2223" w:rsidP="009B2223">
            <w:pPr>
              <w:pStyle w:val="NoSpacing"/>
              <w:rPr>
                <w:rFonts w:ascii="Georgia" w:hAnsi="Georgia" w:cstheme="minorHAnsi"/>
              </w:rPr>
            </w:pPr>
            <w:r>
              <w:rPr>
                <w:rFonts w:ascii="Georgia" w:hAnsi="Georgia"/>
              </w:rPr>
              <w:t>Népal</w:t>
            </w:r>
          </w:p>
        </w:tc>
        <w:tc>
          <w:tcPr>
            <w:tcW w:w="1726" w:type="dxa"/>
          </w:tcPr>
          <w:p w14:paraId="478C3ABA"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69B5BDB2"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7C3B447B" w14:textId="77777777" w:rsidR="009B2223" w:rsidRPr="002F2DD8" w:rsidRDefault="009B2223" w:rsidP="009B2223">
            <w:pPr>
              <w:pStyle w:val="NoSpacing"/>
              <w:jc w:val="center"/>
              <w:rPr>
                <w:rFonts w:ascii="Georgia" w:hAnsi="Georgia" w:cstheme="minorHAnsi"/>
              </w:rPr>
            </w:pPr>
          </w:p>
        </w:tc>
      </w:tr>
      <w:tr w:rsidR="009B2223" w:rsidRPr="002F2DD8" w14:paraId="5C17B1CE" w14:textId="77777777" w:rsidTr="000118D7">
        <w:trPr>
          <w:trHeight w:val="276"/>
        </w:trPr>
        <w:tc>
          <w:tcPr>
            <w:tcW w:w="3211" w:type="dxa"/>
          </w:tcPr>
          <w:p w14:paraId="729FE791" w14:textId="00541207" w:rsidR="009B2223" w:rsidRDefault="009B2223" w:rsidP="009B2223">
            <w:pPr>
              <w:pStyle w:val="NoSpacing"/>
              <w:rPr>
                <w:rFonts w:ascii="Georgia" w:hAnsi="Georgia"/>
              </w:rPr>
            </w:pPr>
            <w:r>
              <w:rPr>
                <w:rFonts w:ascii="Georgia" w:hAnsi="Georgia"/>
              </w:rPr>
              <w:t>Ouganda</w:t>
            </w:r>
          </w:p>
        </w:tc>
        <w:tc>
          <w:tcPr>
            <w:tcW w:w="1726" w:type="dxa"/>
          </w:tcPr>
          <w:p w14:paraId="7B838E92" w14:textId="34443BEF" w:rsidR="009B2223" w:rsidRDefault="009B2223" w:rsidP="009B2223">
            <w:pPr>
              <w:pStyle w:val="NoSpacing"/>
              <w:jc w:val="center"/>
              <w:rPr>
                <w:rFonts w:ascii="Georgia" w:hAnsi="Georgia"/>
              </w:rPr>
            </w:pPr>
            <w:r>
              <w:rPr>
                <w:rFonts w:ascii="Georgia" w:hAnsi="Georgia"/>
              </w:rPr>
              <w:t>X</w:t>
            </w:r>
          </w:p>
        </w:tc>
        <w:tc>
          <w:tcPr>
            <w:tcW w:w="1855" w:type="dxa"/>
          </w:tcPr>
          <w:p w14:paraId="010182A2" w14:textId="38BC0BCE" w:rsidR="009B2223" w:rsidRDefault="009B2223" w:rsidP="009B2223">
            <w:pPr>
              <w:pStyle w:val="NoSpacing"/>
              <w:jc w:val="center"/>
              <w:rPr>
                <w:rFonts w:ascii="Georgia" w:hAnsi="Georgia"/>
              </w:rPr>
            </w:pPr>
            <w:r>
              <w:rPr>
                <w:rFonts w:ascii="Georgia" w:hAnsi="Georgia"/>
              </w:rPr>
              <w:t>X</w:t>
            </w:r>
          </w:p>
        </w:tc>
        <w:tc>
          <w:tcPr>
            <w:tcW w:w="2473" w:type="dxa"/>
          </w:tcPr>
          <w:p w14:paraId="31FD439D" w14:textId="211DA6BE" w:rsidR="009B2223" w:rsidRPr="002F2DD8" w:rsidRDefault="009B2223" w:rsidP="009B2223">
            <w:pPr>
              <w:pStyle w:val="NoSpacing"/>
              <w:jc w:val="center"/>
              <w:rPr>
                <w:rFonts w:ascii="Georgia" w:hAnsi="Georgia" w:cstheme="minorHAnsi"/>
              </w:rPr>
            </w:pPr>
            <w:r>
              <w:rPr>
                <w:rFonts w:ascii="Georgia" w:hAnsi="Georgia"/>
              </w:rPr>
              <w:t>X</w:t>
            </w:r>
          </w:p>
        </w:tc>
      </w:tr>
      <w:tr w:rsidR="009B2223" w:rsidRPr="002F2DD8" w14:paraId="0A2C55D5" w14:textId="77777777" w:rsidTr="000118D7">
        <w:trPr>
          <w:trHeight w:val="276"/>
        </w:trPr>
        <w:tc>
          <w:tcPr>
            <w:tcW w:w="3211" w:type="dxa"/>
          </w:tcPr>
          <w:p w14:paraId="25A1E7B2" w14:textId="77777777" w:rsidR="009B2223" w:rsidRPr="002F2DD8" w:rsidRDefault="009B2223" w:rsidP="009B2223">
            <w:pPr>
              <w:pStyle w:val="NoSpacing"/>
              <w:rPr>
                <w:rFonts w:ascii="Georgia" w:hAnsi="Georgia" w:cstheme="minorHAnsi"/>
              </w:rPr>
            </w:pPr>
            <w:r>
              <w:rPr>
                <w:rFonts w:ascii="Georgia" w:hAnsi="Georgia"/>
              </w:rPr>
              <w:t>Philippines</w:t>
            </w:r>
          </w:p>
        </w:tc>
        <w:tc>
          <w:tcPr>
            <w:tcW w:w="1726" w:type="dxa"/>
          </w:tcPr>
          <w:p w14:paraId="4F4269A3"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41DB611D"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182979A4" w14:textId="77777777" w:rsidR="009B2223" w:rsidRPr="002F2DD8" w:rsidRDefault="009B2223" w:rsidP="009B2223">
            <w:pPr>
              <w:pStyle w:val="NoSpacing"/>
              <w:jc w:val="center"/>
              <w:rPr>
                <w:rFonts w:ascii="Georgia" w:hAnsi="Georgia" w:cstheme="minorHAnsi"/>
              </w:rPr>
            </w:pPr>
          </w:p>
        </w:tc>
      </w:tr>
      <w:tr w:rsidR="009B2223" w:rsidRPr="002F2DD8" w14:paraId="58C36B7B" w14:textId="77777777" w:rsidTr="000118D7">
        <w:trPr>
          <w:trHeight w:val="276"/>
        </w:trPr>
        <w:tc>
          <w:tcPr>
            <w:tcW w:w="3211" w:type="dxa"/>
          </w:tcPr>
          <w:p w14:paraId="1CB5E745" w14:textId="5E706C1F" w:rsidR="009B2223" w:rsidRDefault="009B2223" w:rsidP="009B2223">
            <w:pPr>
              <w:pStyle w:val="NoSpacing"/>
              <w:rPr>
                <w:rFonts w:ascii="Georgia" w:hAnsi="Georgia"/>
              </w:rPr>
            </w:pPr>
            <w:proofErr w:type="spellStart"/>
            <w:r>
              <w:rPr>
                <w:rFonts w:ascii="Georgia" w:hAnsi="Georgia"/>
              </w:rPr>
              <w:t>Rép</w:t>
            </w:r>
            <w:proofErr w:type="spellEnd"/>
            <w:r>
              <w:rPr>
                <w:rFonts w:ascii="Georgia" w:hAnsi="Georgia"/>
              </w:rPr>
              <w:t>. dém. Congo</w:t>
            </w:r>
          </w:p>
        </w:tc>
        <w:tc>
          <w:tcPr>
            <w:tcW w:w="1726" w:type="dxa"/>
          </w:tcPr>
          <w:p w14:paraId="0975FA0B" w14:textId="19F0C837" w:rsidR="009B2223" w:rsidRDefault="009B2223" w:rsidP="009B2223">
            <w:pPr>
              <w:pStyle w:val="NoSpacing"/>
              <w:jc w:val="center"/>
              <w:rPr>
                <w:rFonts w:ascii="Georgia" w:hAnsi="Georgia"/>
              </w:rPr>
            </w:pPr>
            <w:r>
              <w:rPr>
                <w:rFonts w:ascii="Georgia" w:hAnsi="Georgia"/>
              </w:rPr>
              <w:t>X</w:t>
            </w:r>
          </w:p>
        </w:tc>
        <w:tc>
          <w:tcPr>
            <w:tcW w:w="1855" w:type="dxa"/>
          </w:tcPr>
          <w:p w14:paraId="0E061F69" w14:textId="453DAF7C"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1BEFC774" w14:textId="77777777" w:rsidR="009B2223" w:rsidRPr="002F2DD8" w:rsidRDefault="009B2223" w:rsidP="009B2223">
            <w:pPr>
              <w:pStyle w:val="NoSpacing"/>
              <w:jc w:val="center"/>
              <w:rPr>
                <w:rFonts w:ascii="Georgia" w:hAnsi="Georgia" w:cstheme="minorHAnsi"/>
              </w:rPr>
            </w:pPr>
          </w:p>
        </w:tc>
      </w:tr>
      <w:tr w:rsidR="009B2223" w:rsidRPr="002F2DD8" w14:paraId="6D57BDC7" w14:textId="77777777" w:rsidTr="000118D7">
        <w:trPr>
          <w:trHeight w:val="276"/>
        </w:trPr>
        <w:tc>
          <w:tcPr>
            <w:tcW w:w="3211" w:type="dxa"/>
          </w:tcPr>
          <w:p w14:paraId="61E58A45" w14:textId="77777777" w:rsidR="009B2223" w:rsidRPr="002F2DD8" w:rsidRDefault="009B2223" w:rsidP="009B2223">
            <w:pPr>
              <w:pStyle w:val="NoSpacing"/>
              <w:rPr>
                <w:rFonts w:ascii="Georgia" w:hAnsi="Georgia" w:cstheme="minorHAnsi"/>
              </w:rPr>
            </w:pPr>
            <w:r>
              <w:rPr>
                <w:rFonts w:ascii="Georgia" w:hAnsi="Georgia"/>
              </w:rPr>
              <w:t>Sénégal</w:t>
            </w:r>
          </w:p>
        </w:tc>
        <w:tc>
          <w:tcPr>
            <w:tcW w:w="1726" w:type="dxa"/>
          </w:tcPr>
          <w:p w14:paraId="3DF65441"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2E0B1DA0" w14:textId="77777777" w:rsidR="009B2223" w:rsidRPr="002F2DD8" w:rsidRDefault="009B2223" w:rsidP="009B2223">
            <w:pPr>
              <w:pStyle w:val="NoSpacing"/>
              <w:jc w:val="center"/>
              <w:rPr>
                <w:rFonts w:ascii="Georgia" w:hAnsi="Georgia" w:cstheme="minorHAnsi"/>
              </w:rPr>
            </w:pPr>
          </w:p>
        </w:tc>
        <w:tc>
          <w:tcPr>
            <w:tcW w:w="2473" w:type="dxa"/>
          </w:tcPr>
          <w:p w14:paraId="7B7C5F0F" w14:textId="77777777" w:rsidR="009B2223" w:rsidRPr="002F2DD8" w:rsidRDefault="009B2223" w:rsidP="009B2223">
            <w:pPr>
              <w:pStyle w:val="NoSpacing"/>
              <w:jc w:val="center"/>
              <w:rPr>
                <w:rFonts w:ascii="Georgia" w:hAnsi="Georgia" w:cstheme="minorHAnsi"/>
              </w:rPr>
            </w:pPr>
          </w:p>
        </w:tc>
      </w:tr>
      <w:tr w:rsidR="009B2223" w:rsidRPr="002F2DD8" w14:paraId="6DAC8F5F" w14:textId="77777777" w:rsidTr="000118D7">
        <w:trPr>
          <w:trHeight w:val="276"/>
        </w:trPr>
        <w:tc>
          <w:tcPr>
            <w:tcW w:w="3211" w:type="dxa"/>
          </w:tcPr>
          <w:p w14:paraId="5A187AE5" w14:textId="77777777" w:rsidR="009B2223" w:rsidRPr="002F2DD8" w:rsidRDefault="009B2223" w:rsidP="009B2223">
            <w:pPr>
              <w:pStyle w:val="NoSpacing"/>
              <w:rPr>
                <w:rFonts w:ascii="Georgia" w:hAnsi="Georgia" w:cstheme="minorHAnsi"/>
              </w:rPr>
            </w:pPr>
            <w:r>
              <w:rPr>
                <w:rFonts w:ascii="Georgia" w:hAnsi="Georgia"/>
              </w:rPr>
              <w:t>Sierra Leone</w:t>
            </w:r>
          </w:p>
        </w:tc>
        <w:tc>
          <w:tcPr>
            <w:tcW w:w="1726" w:type="dxa"/>
          </w:tcPr>
          <w:p w14:paraId="782F89EA"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52CAD755"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4AB3C580" w14:textId="77777777" w:rsidR="009B2223" w:rsidRPr="002F2DD8" w:rsidRDefault="009B2223" w:rsidP="009B2223">
            <w:pPr>
              <w:pStyle w:val="NoSpacing"/>
              <w:jc w:val="center"/>
              <w:rPr>
                <w:rFonts w:ascii="Georgia" w:hAnsi="Georgia" w:cstheme="minorHAnsi"/>
              </w:rPr>
            </w:pPr>
          </w:p>
        </w:tc>
      </w:tr>
      <w:tr w:rsidR="009B2223" w:rsidRPr="002F2DD8" w14:paraId="25537AE4" w14:textId="77777777" w:rsidTr="000118D7">
        <w:trPr>
          <w:trHeight w:val="276"/>
        </w:trPr>
        <w:tc>
          <w:tcPr>
            <w:tcW w:w="3211" w:type="dxa"/>
          </w:tcPr>
          <w:p w14:paraId="3150B492" w14:textId="77777777" w:rsidR="009B2223" w:rsidRPr="002F2DD8" w:rsidRDefault="009B2223" w:rsidP="009B2223">
            <w:pPr>
              <w:pStyle w:val="NoSpacing"/>
              <w:rPr>
                <w:rFonts w:ascii="Georgia" w:hAnsi="Georgia" w:cstheme="minorHAnsi"/>
              </w:rPr>
            </w:pPr>
            <w:r>
              <w:rPr>
                <w:rFonts w:ascii="Georgia" w:hAnsi="Georgia"/>
              </w:rPr>
              <w:t>Tunisie</w:t>
            </w:r>
          </w:p>
        </w:tc>
        <w:tc>
          <w:tcPr>
            <w:tcW w:w="1726" w:type="dxa"/>
          </w:tcPr>
          <w:p w14:paraId="002C06AE"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3408F92F" w14:textId="77777777" w:rsidR="009B2223" w:rsidRPr="002F2DD8" w:rsidRDefault="009B2223" w:rsidP="009B2223">
            <w:pPr>
              <w:pStyle w:val="NoSpacing"/>
              <w:jc w:val="center"/>
              <w:rPr>
                <w:rFonts w:ascii="Georgia" w:hAnsi="Georgia" w:cstheme="minorHAnsi"/>
              </w:rPr>
            </w:pPr>
          </w:p>
        </w:tc>
        <w:tc>
          <w:tcPr>
            <w:tcW w:w="2473" w:type="dxa"/>
          </w:tcPr>
          <w:p w14:paraId="574C4DDA" w14:textId="77777777" w:rsidR="009B2223" w:rsidRPr="002F2DD8" w:rsidRDefault="009B2223" w:rsidP="009B2223">
            <w:pPr>
              <w:pStyle w:val="NoSpacing"/>
              <w:jc w:val="center"/>
              <w:rPr>
                <w:rFonts w:ascii="Georgia" w:hAnsi="Georgia" w:cstheme="minorHAnsi"/>
              </w:rPr>
            </w:pPr>
          </w:p>
        </w:tc>
      </w:tr>
      <w:tr w:rsidR="009B2223" w:rsidRPr="002F2DD8" w14:paraId="426FED45" w14:textId="77777777" w:rsidTr="000118D7">
        <w:trPr>
          <w:trHeight w:val="276"/>
        </w:trPr>
        <w:tc>
          <w:tcPr>
            <w:tcW w:w="3211" w:type="dxa"/>
          </w:tcPr>
          <w:p w14:paraId="1CA720A4" w14:textId="77777777" w:rsidR="009B2223" w:rsidRPr="002F2DD8" w:rsidRDefault="009B2223" w:rsidP="009B2223">
            <w:pPr>
              <w:pStyle w:val="NoSpacing"/>
              <w:rPr>
                <w:rFonts w:ascii="Georgia" w:hAnsi="Georgia" w:cstheme="minorHAnsi"/>
              </w:rPr>
            </w:pPr>
            <w:r>
              <w:rPr>
                <w:rFonts w:ascii="Georgia" w:hAnsi="Georgia"/>
              </w:rPr>
              <w:t>Ukraine</w:t>
            </w:r>
          </w:p>
        </w:tc>
        <w:tc>
          <w:tcPr>
            <w:tcW w:w="1726" w:type="dxa"/>
          </w:tcPr>
          <w:p w14:paraId="529BEC5F"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1855" w:type="dxa"/>
          </w:tcPr>
          <w:p w14:paraId="42C7EC93" w14:textId="77777777" w:rsidR="009B2223" w:rsidRPr="002F2DD8" w:rsidRDefault="009B2223" w:rsidP="009B2223">
            <w:pPr>
              <w:pStyle w:val="NoSpacing"/>
              <w:jc w:val="center"/>
              <w:rPr>
                <w:rFonts w:ascii="Georgia" w:hAnsi="Georgia" w:cstheme="minorHAnsi"/>
              </w:rPr>
            </w:pPr>
            <w:r>
              <w:rPr>
                <w:rFonts w:ascii="Georgia" w:hAnsi="Georgia"/>
              </w:rPr>
              <w:t>X</w:t>
            </w:r>
          </w:p>
        </w:tc>
        <w:tc>
          <w:tcPr>
            <w:tcW w:w="2473" w:type="dxa"/>
          </w:tcPr>
          <w:p w14:paraId="0ACBAB1B" w14:textId="77777777" w:rsidR="009B2223" w:rsidRPr="002F2DD8" w:rsidRDefault="009B2223" w:rsidP="009B2223">
            <w:pPr>
              <w:pStyle w:val="NoSpacing"/>
              <w:jc w:val="center"/>
              <w:rPr>
                <w:rFonts w:ascii="Georgia" w:hAnsi="Georgia" w:cstheme="minorHAnsi"/>
              </w:rPr>
            </w:pPr>
          </w:p>
        </w:tc>
      </w:tr>
    </w:tbl>
    <w:p w14:paraId="5AEE4E53" w14:textId="77777777" w:rsidR="002F2DD8" w:rsidRDefault="002F2DD8" w:rsidP="002F2DD8"/>
    <w:p w14:paraId="033FB354" w14:textId="77777777" w:rsidR="00160F94" w:rsidRPr="00F04999" w:rsidRDefault="00160F94" w:rsidP="00354001">
      <w:pPr>
        <w:spacing w:before="120" w:after="0" w:line="288" w:lineRule="auto"/>
        <w:contextualSpacing/>
        <w:rPr>
          <w:rFonts w:cs="Arial"/>
        </w:rPr>
      </w:pPr>
    </w:p>
    <w:sectPr w:rsidR="00160F94" w:rsidRPr="00F04999" w:rsidSect="00B44C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710A" w16cex:dateUtc="2021-02-10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7AE0" w14:textId="77777777" w:rsidR="00CE25E7" w:rsidRDefault="00CE25E7" w:rsidP="002B1AB3">
      <w:pPr>
        <w:spacing w:after="0" w:line="240" w:lineRule="auto"/>
      </w:pPr>
      <w:r>
        <w:separator/>
      </w:r>
    </w:p>
  </w:endnote>
  <w:endnote w:type="continuationSeparator" w:id="0">
    <w:p w14:paraId="2CD1D6C5" w14:textId="77777777" w:rsidR="00CE25E7" w:rsidRDefault="00CE25E7" w:rsidP="002B1AB3">
      <w:pPr>
        <w:spacing w:after="0" w:line="240" w:lineRule="auto"/>
      </w:pPr>
      <w:r>
        <w:continuationSeparator/>
      </w:r>
    </w:p>
  </w:endnote>
  <w:endnote w:type="continuationNotice" w:id="1">
    <w:p w14:paraId="087411CE" w14:textId="77777777" w:rsidR="00CE25E7" w:rsidRDefault="00CE2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9A41" w14:textId="77777777" w:rsidR="000D04EB" w:rsidRDefault="000D0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274335"/>
      <w:docPartObj>
        <w:docPartGallery w:val="Page Numbers (Bottom of Page)"/>
        <w:docPartUnique/>
      </w:docPartObj>
    </w:sdtPr>
    <w:sdtEndPr>
      <w:rPr>
        <w:noProof/>
      </w:rPr>
    </w:sdtEndPr>
    <w:sdtContent>
      <w:p w14:paraId="20B8B218" w14:textId="77777777" w:rsidR="00B44C0C" w:rsidRDefault="00B44C0C">
        <w:pPr>
          <w:pStyle w:val="Footer"/>
          <w:jc w:val="right"/>
        </w:pPr>
        <w:r>
          <w:fldChar w:fldCharType="begin"/>
        </w:r>
        <w:r>
          <w:instrText xml:space="preserve"> PAGE   \* MERGEFORMAT </w:instrText>
        </w:r>
        <w:r>
          <w:fldChar w:fldCharType="separate"/>
        </w:r>
        <w:r>
          <w:t>2</w:t>
        </w:r>
        <w:r>
          <w:fldChar w:fldCharType="end"/>
        </w:r>
      </w:p>
    </w:sdtContent>
  </w:sdt>
  <w:p w14:paraId="689509F9" w14:textId="77777777" w:rsidR="00AD3430" w:rsidRDefault="00AD3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F329" w14:textId="77777777" w:rsidR="000D04EB" w:rsidRDefault="000D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4CF2" w14:textId="77777777" w:rsidR="00CE25E7" w:rsidRDefault="00CE25E7" w:rsidP="002B1AB3">
      <w:pPr>
        <w:spacing w:after="0" w:line="240" w:lineRule="auto"/>
      </w:pPr>
      <w:r>
        <w:separator/>
      </w:r>
    </w:p>
  </w:footnote>
  <w:footnote w:type="continuationSeparator" w:id="0">
    <w:p w14:paraId="46AB16FF" w14:textId="77777777" w:rsidR="00CE25E7" w:rsidRDefault="00CE25E7" w:rsidP="002B1AB3">
      <w:pPr>
        <w:spacing w:after="0" w:line="240" w:lineRule="auto"/>
      </w:pPr>
      <w:r>
        <w:continuationSeparator/>
      </w:r>
    </w:p>
  </w:footnote>
  <w:footnote w:type="continuationNotice" w:id="1">
    <w:p w14:paraId="46FFEB98" w14:textId="77777777" w:rsidR="00CE25E7" w:rsidRDefault="00CE25E7">
      <w:pPr>
        <w:spacing w:after="0" w:line="240" w:lineRule="auto"/>
      </w:pPr>
    </w:p>
  </w:footnote>
  <w:footnote w:id="2">
    <w:p w14:paraId="6B55D01B" w14:textId="77777777" w:rsidR="002F2DD8" w:rsidRPr="00D63B60" w:rsidRDefault="002F2DD8" w:rsidP="002F2DD8">
      <w:pPr>
        <w:pStyle w:val="FootnoteText"/>
        <w:rPr>
          <w:rFonts w:asciiTheme="minorHAnsi" w:hAnsiTheme="minorHAnsi"/>
        </w:rPr>
      </w:pPr>
      <w:r>
        <w:rPr>
          <w:rStyle w:val="FootnoteReference"/>
        </w:rPr>
        <w:footnoteRef/>
      </w:r>
      <w:r>
        <w:t xml:space="preserve"> </w:t>
      </w:r>
      <w:r>
        <w:rPr>
          <w:i/>
        </w:rPr>
        <w:t>Stratégie du Fonds mondial pour la période 2017-2022 : Investir pour mettre fin aux épidémies</w:t>
      </w:r>
      <w:r>
        <w:t>. GF/B35/02</w:t>
      </w:r>
      <w:r>
        <w:rPr>
          <w:rFonts w:asciiTheme="minorHAnsi" w:hAnsiTheme="minorHAnsi"/>
          <w:sz w:val="18"/>
        </w:rPr>
        <w:t xml:space="preserve"> </w:t>
      </w:r>
    </w:p>
  </w:footnote>
  <w:footnote w:id="3">
    <w:p w14:paraId="561D84EF" w14:textId="2C42586D" w:rsidR="002F2DD8" w:rsidRPr="001171FE" w:rsidRDefault="002F2DD8" w:rsidP="002F2DD8">
      <w:pPr>
        <w:pStyle w:val="FootnoteText"/>
      </w:pPr>
      <w:r>
        <w:rPr>
          <w:rStyle w:val="FootnoteReference"/>
        </w:rPr>
        <w:footnoteRef/>
      </w:r>
      <w:r>
        <w:t xml:space="preserve"> </w:t>
      </w:r>
      <w:r w:rsidR="006F19EE" w:rsidRPr="006F19EE">
        <w:t>Afrique du Sud, Bénin, Botswana, Cameroun, Côte d’Ivoire, Ghana, Honduras, Indonésie (certaines villes), Jamaïque, Kenya, Kirghizistan, Mozambique, Népal, Ouganda, Philippines, République démocratique du Congo (niveau provincial), Sénégal, Sierra Leone, Tunisie et Ukraine</w:t>
      </w:r>
      <w:r>
        <w:t>.</w:t>
      </w:r>
    </w:p>
    <w:p w14:paraId="458198AB" w14:textId="77777777" w:rsidR="002F2DD8" w:rsidRPr="00542E04" w:rsidRDefault="002F2DD8" w:rsidP="002F2DD8">
      <w:pPr>
        <w:pStyle w:val="FootnoteText"/>
      </w:pPr>
    </w:p>
  </w:footnote>
  <w:footnote w:id="4">
    <w:p w14:paraId="17CABBC7" w14:textId="7A3537C2" w:rsidR="002F2DD8" w:rsidRPr="00E543FE" w:rsidRDefault="002F2DD8" w:rsidP="002F2DD8">
      <w:pPr>
        <w:pStyle w:val="FootnoteText"/>
      </w:pPr>
      <w:r>
        <w:rPr>
          <w:rStyle w:val="FootnoteReference"/>
        </w:rPr>
        <w:footnoteRef/>
      </w:r>
      <w:r>
        <w:t xml:space="preserve"> </w:t>
      </w:r>
      <w:r>
        <w:rPr>
          <w:i/>
        </w:rPr>
        <w:t xml:space="preserve">Programmes clés visant </w:t>
      </w:r>
      <w:r w:rsidR="0096558C">
        <w:rPr>
          <w:i/>
        </w:rPr>
        <w:t>à</w:t>
      </w:r>
      <w:r>
        <w:rPr>
          <w:i/>
        </w:rPr>
        <w:t xml:space="preserve"> réduire la stigmatisation et la discrimination et à renforcer l’accès à la justice dans les ripostes nationales au VIH,</w:t>
      </w:r>
      <w:r>
        <w:t xml:space="preserve"> ONUSIDA / JC2339F (version française, juillet 2012)</w:t>
      </w:r>
      <w:r w:rsidR="0096558C">
        <w:t>,</w:t>
      </w:r>
      <w:r>
        <w:t xml:space="preserve"> ISBN : 978-92-9173-984-4. Voir aussi : </w:t>
      </w:r>
      <w:r>
        <w:rPr>
          <w:i/>
        </w:rPr>
        <w:t xml:space="preserve">Déclaration politique sur le </w:t>
      </w:r>
      <w:r w:rsidR="000D04EB">
        <w:rPr>
          <w:i/>
        </w:rPr>
        <w:t>VIH</w:t>
      </w:r>
      <w:r>
        <w:rPr>
          <w:i/>
        </w:rPr>
        <w:t>/sida</w:t>
      </w:r>
      <w:r>
        <w:t>, 2011 et 2016</w:t>
      </w:r>
      <w:r w:rsidR="00F16AB6">
        <w:t xml:space="preserve">. </w:t>
      </w:r>
      <w:r>
        <w:t>Au sujet de la tuberculose et du paludisme, voir les notes d’information technique du Fonds mondial sur les droits humains, la tuberculose et le paludisme</w:t>
      </w:r>
      <w:r w:rsidR="000D04EB">
        <w:t>.</w:t>
      </w:r>
    </w:p>
    <w:p w14:paraId="57928B19" w14:textId="77777777" w:rsidR="002F2DD8" w:rsidRPr="009F1FD8" w:rsidRDefault="002F2DD8" w:rsidP="002F2DD8">
      <w:pPr>
        <w:pStyle w:val="FootnoteText"/>
      </w:pPr>
    </w:p>
  </w:footnote>
  <w:footnote w:id="5">
    <w:p w14:paraId="2BEF14B3" w14:textId="2D5F5BA2" w:rsidR="002F2DD8" w:rsidRPr="000F6DE7" w:rsidRDefault="002F2DD8" w:rsidP="002F2DD8">
      <w:pPr>
        <w:pStyle w:val="FootnoteText"/>
        <w:rPr>
          <w:szCs w:val="16"/>
          <w:lang w:val="en-US"/>
        </w:rPr>
      </w:pPr>
      <w:r>
        <w:rPr>
          <w:rStyle w:val="FootnoteReference"/>
        </w:rPr>
        <w:footnoteRef/>
      </w:r>
      <w:r w:rsidRPr="000F6DE7">
        <w:rPr>
          <w:lang w:val="en-US"/>
        </w:rPr>
        <w:t xml:space="preserve"> Les </w:t>
      </w:r>
      <w:r w:rsidRPr="000F6DE7">
        <w:rPr>
          <w:lang w:val="en-US"/>
        </w:rPr>
        <w:t>quatre groupes de recherche sont les suivants : 1) APMG - AIDS Project Management Group ; 2) HEARD - Health Economics and AIDS Research Division, University of KwaZulu Natal ; 3) ICRW Consortium - Enda Santé ; International Center for Research on Women, Jamaica AIDS Support for Life, Johns Hopkins University ; (4) JSI/USC Consortium - John Snow, Inc., Program on Global Health and Human Rights, University of Southern California</w:t>
      </w:r>
    </w:p>
  </w:footnote>
  <w:footnote w:id="6">
    <w:p w14:paraId="0DF9EFF8" w14:textId="04BD84E6" w:rsidR="002F2DD8" w:rsidRPr="004E7E84" w:rsidRDefault="002F2DD8" w:rsidP="002F2DD8">
      <w:pPr>
        <w:pStyle w:val="FootnoteText"/>
      </w:pPr>
      <w:r>
        <w:rPr>
          <w:rStyle w:val="FootnoteReference"/>
        </w:rPr>
        <w:footnoteRef/>
      </w:r>
      <w:r>
        <w:t xml:space="preserve"> Cette définition a été élaborée en consultation avec le groupe de travail technique du Fonds mondial pour le suivi et l’évaluation des droits humains</w:t>
      </w:r>
      <w:r w:rsidR="00F16AB6">
        <w:t xml:space="preserve">. </w:t>
      </w:r>
      <w:r>
        <w:t>Le document est disponible sur demande auprès du Fonds mondial.</w:t>
      </w:r>
    </w:p>
  </w:footnote>
  <w:footnote w:id="7">
    <w:p w14:paraId="4877C7DF" w14:textId="77777777" w:rsidR="002F2DD8" w:rsidRPr="00C72A32" w:rsidRDefault="002F2DD8" w:rsidP="002F2DD8">
      <w:pPr>
        <w:pStyle w:val="FootnoteText"/>
      </w:pPr>
      <w:r>
        <w:rPr>
          <w:rStyle w:val="FootnoteReference"/>
        </w:rPr>
        <w:footnoteRef/>
      </w:r>
      <w:r>
        <w:t xml:space="preserve"> Voir l’évaluation de référence du Mozambique : </w:t>
      </w:r>
      <w:hyperlink r:id="rId1" w:history="1">
        <w:r>
          <w:rPr>
            <w:rStyle w:val="Hyperlink"/>
          </w:rPr>
          <w:t>https://www.theglobalfund.org/fr/human-rights/</w:t>
        </w:r>
      </w:hyperlink>
    </w:p>
  </w:footnote>
  <w:footnote w:id="8">
    <w:p w14:paraId="363B9A7E" w14:textId="1ABF287C" w:rsidR="002F2DD8" w:rsidRPr="006C76B8" w:rsidRDefault="002F2DD8" w:rsidP="002F2DD8">
      <w:pPr>
        <w:pStyle w:val="FootnoteText"/>
        <w:rPr>
          <w:rFonts w:asciiTheme="minorHAnsi" w:hAnsiTheme="minorHAnsi" w:cstheme="minorHAnsi"/>
        </w:rPr>
      </w:pPr>
      <w:r>
        <w:rPr>
          <w:rStyle w:val="FootnoteReference"/>
        </w:rPr>
        <w:footnoteRef/>
      </w:r>
      <w:r>
        <w:t xml:space="preserve"> </w:t>
      </w:r>
      <w:r>
        <w:rPr>
          <w:rFonts w:asciiTheme="minorHAnsi" w:hAnsiTheme="minorHAnsi"/>
        </w:rPr>
        <w:t>Voir : Fonds mondial de lutte contre le sida, la tuberculose et le paludisme</w:t>
      </w:r>
      <w:r w:rsidR="00F16AB6">
        <w:rPr>
          <w:rFonts w:asciiTheme="minorHAnsi" w:hAnsiTheme="minorHAnsi"/>
        </w:rPr>
        <w:t xml:space="preserve">. </w:t>
      </w:r>
      <w:r w:rsidRPr="000F6DE7">
        <w:rPr>
          <w:rFonts w:asciiTheme="minorHAnsi" w:hAnsiTheme="minorHAnsi"/>
          <w:i/>
          <w:lang w:val="en-US"/>
        </w:rPr>
        <w:t>The Malaria Matchbox: a person-</w:t>
      </w:r>
      <w:r w:rsidRPr="000F6DE7">
        <w:rPr>
          <w:rFonts w:asciiTheme="minorHAnsi" w:hAnsiTheme="minorHAnsi"/>
          <w:i/>
          <w:lang w:val="en-US"/>
        </w:rPr>
        <w:t>centred approach to fighting malaria.</w:t>
      </w:r>
      <w:r w:rsidRPr="000F6DE7">
        <w:rPr>
          <w:rFonts w:asciiTheme="minorHAnsi" w:hAnsiTheme="minorHAnsi"/>
          <w:lang w:val="en-US"/>
        </w:rPr>
        <w:t xml:space="preserve"> </w:t>
      </w:r>
      <w:r>
        <w:rPr>
          <w:rFonts w:asciiTheme="minorHAnsi" w:hAnsiTheme="minorHAnsi"/>
        </w:rPr>
        <w:t xml:space="preserve">Genève, 2018 : </w:t>
      </w:r>
      <w:hyperlink r:id="rId2" w:history="1">
        <w:r>
          <w:rPr>
            <w:rStyle w:val="Hyperlink"/>
            <w:rFonts w:asciiTheme="minorHAnsi" w:hAnsiTheme="minorHAnsi"/>
          </w:rPr>
          <w:t>https://endmalaria.org/sites/default/files/Malaria%20Matchbox_v4.pdf</w:t>
        </w:r>
      </w:hyperlink>
    </w:p>
  </w:footnote>
  <w:footnote w:id="9">
    <w:p w14:paraId="27A29D81" w14:textId="77777777" w:rsidR="002F2DD8" w:rsidRPr="00740359" w:rsidRDefault="002F2DD8" w:rsidP="002F2DD8">
      <w:pPr>
        <w:pStyle w:val="FootnoteText"/>
      </w:pPr>
      <w:r>
        <w:rPr>
          <w:rStyle w:val="FootnoteReference"/>
        </w:rPr>
        <w:footnoteRef/>
      </w:r>
      <w:r>
        <w:t xml:space="preserve"> Évaluation de référence de l’Afrique du Sud : </w:t>
      </w:r>
      <w:hyperlink r:id="rId3" w:history="1">
        <w:r>
          <w:rPr>
            <w:rStyle w:val="Hyperlink"/>
          </w:rPr>
          <w:t>https://www.theglobalfund.org/fr/human-rights/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569F" w14:textId="77777777" w:rsidR="000D04EB" w:rsidRDefault="000D0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4BDC" w14:textId="77777777" w:rsidR="000D04EB" w:rsidRDefault="000D0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87D0" w14:textId="77777777" w:rsidR="000D04EB" w:rsidRDefault="000D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9DF"/>
    <w:multiLevelType w:val="hybridMultilevel"/>
    <w:tmpl w:val="B5EA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169F4"/>
    <w:multiLevelType w:val="hybridMultilevel"/>
    <w:tmpl w:val="185828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20202D2"/>
    <w:multiLevelType w:val="hybridMultilevel"/>
    <w:tmpl w:val="8E84E610"/>
    <w:numStyleLink w:val="ImportedStyle57"/>
  </w:abstractNum>
  <w:abstractNum w:abstractNumId="3" w15:restartNumberingAfterBreak="0">
    <w:nsid w:val="123D5B50"/>
    <w:multiLevelType w:val="hybridMultilevel"/>
    <w:tmpl w:val="97D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74F44"/>
    <w:multiLevelType w:val="hybridMultilevel"/>
    <w:tmpl w:val="6F1E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20526"/>
    <w:multiLevelType w:val="hybridMultilevel"/>
    <w:tmpl w:val="6932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44224"/>
    <w:multiLevelType w:val="hybridMultilevel"/>
    <w:tmpl w:val="DB16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269A"/>
    <w:multiLevelType w:val="hybridMultilevel"/>
    <w:tmpl w:val="49A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92292"/>
    <w:multiLevelType w:val="hybridMultilevel"/>
    <w:tmpl w:val="F6A2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A2702"/>
    <w:multiLevelType w:val="hybridMultilevel"/>
    <w:tmpl w:val="403C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D10F2"/>
    <w:multiLevelType w:val="hybridMultilevel"/>
    <w:tmpl w:val="7F6E15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D636375"/>
    <w:multiLevelType w:val="hybridMultilevel"/>
    <w:tmpl w:val="8E84E610"/>
    <w:styleLink w:val="ImportedStyle57"/>
    <w:lvl w:ilvl="0" w:tplc="9B44FC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736A0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3DC08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430D7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706BD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61A4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2DAF4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89043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4A4B3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2256116"/>
    <w:multiLevelType w:val="hybridMultilevel"/>
    <w:tmpl w:val="CD8C0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857CC"/>
    <w:multiLevelType w:val="hybridMultilevel"/>
    <w:tmpl w:val="E25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830"/>
    <w:multiLevelType w:val="hybridMultilevel"/>
    <w:tmpl w:val="954C06C0"/>
    <w:lvl w:ilvl="0" w:tplc="04090017">
      <w:start w:val="1"/>
      <w:numFmt w:val="lowerLetter"/>
      <w:lvlText w:val="%1)"/>
      <w:lvlJc w:val="left"/>
      <w:pPr>
        <w:ind w:left="720" w:hanging="360"/>
      </w:pPr>
    </w:lvl>
    <w:lvl w:ilvl="1" w:tplc="04190001">
      <w:start w:val="1"/>
      <w:numFmt w:val="bullet"/>
      <w:lvlText w:val=""/>
      <w:lvlJc w:val="left"/>
      <w:pPr>
        <w:ind w:left="1440" w:hanging="360"/>
      </w:pPr>
      <w:rPr>
        <w:rFonts w:ascii="Symbol" w:hAnsi="Symbol" w:hint="default"/>
      </w:rPr>
    </w:lvl>
    <w:lvl w:ilvl="2" w:tplc="DFC2BB62">
      <w:start w:val="3"/>
      <w:numFmt w:val="upperRoman"/>
      <w:lvlText w:val="%3."/>
      <w:lvlJc w:val="left"/>
      <w:pPr>
        <w:ind w:left="2700" w:hanging="720"/>
      </w:pPr>
      <w:rPr>
        <w:rFonts w:hint="default"/>
      </w:rPr>
    </w:lvl>
    <w:lvl w:ilvl="3" w:tplc="3F6EC4F8">
      <w:start w:val="1"/>
      <w:numFmt w:val="decimalZero"/>
      <w:lvlText w:val="%4"/>
      <w:lvlJc w:val="left"/>
      <w:pPr>
        <w:ind w:left="2880" w:hanging="360"/>
      </w:pPr>
      <w:rPr>
        <w:rFonts w:hint="default"/>
      </w:rPr>
    </w:lvl>
    <w:lvl w:ilvl="4" w:tplc="707E1C28">
      <w:start w:val="6"/>
      <w:numFmt w:val="decimal"/>
      <w:lvlText w:val="%5."/>
      <w:lvlJc w:val="left"/>
      <w:pPr>
        <w:ind w:left="153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8096F"/>
    <w:multiLevelType w:val="hybridMultilevel"/>
    <w:tmpl w:val="80EAF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07550"/>
    <w:multiLevelType w:val="hybridMultilevel"/>
    <w:tmpl w:val="C352D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4553E"/>
    <w:multiLevelType w:val="hybridMultilevel"/>
    <w:tmpl w:val="80EAF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84DF1"/>
    <w:multiLevelType w:val="hybridMultilevel"/>
    <w:tmpl w:val="D23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34AE8"/>
    <w:multiLevelType w:val="hybridMultilevel"/>
    <w:tmpl w:val="80EAF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41639"/>
    <w:multiLevelType w:val="hybridMultilevel"/>
    <w:tmpl w:val="74C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F163B"/>
    <w:multiLevelType w:val="hybridMultilevel"/>
    <w:tmpl w:val="25AE0CB8"/>
    <w:lvl w:ilvl="0" w:tplc="04090017">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B940F1"/>
    <w:multiLevelType w:val="hybridMultilevel"/>
    <w:tmpl w:val="D308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74F48"/>
    <w:multiLevelType w:val="hybridMultilevel"/>
    <w:tmpl w:val="80EAF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15D11"/>
    <w:multiLevelType w:val="hybridMultilevel"/>
    <w:tmpl w:val="235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821CB"/>
    <w:multiLevelType w:val="multilevel"/>
    <w:tmpl w:val="4C32A502"/>
    <w:lvl w:ilvl="0">
      <w:start w:val="1"/>
      <w:numFmt w:val="bullet"/>
      <w:lvlText w:val="●"/>
      <w:lvlJc w:val="left"/>
      <w:pPr>
        <w:ind w:left="720" w:hanging="360"/>
      </w:pPr>
      <w:rPr>
        <w:rFonts w:ascii="Noto Sans Symbols" w:eastAsia="Noto Sans Symbols" w:hAnsi="Noto Sans Symbols" w:cs="Noto Sans Symbols"/>
        <w:color w:val="C5591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8B469C"/>
    <w:multiLevelType w:val="hybridMultilevel"/>
    <w:tmpl w:val="45C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52378"/>
    <w:multiLevelType w:val="hybridMultilevel"/>
    <w:tmpl w:val="255CC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0447F"/>
    <w:multiLevelType w:val="hybridMultilevel"/>
    <w:tmpl w:val="F3C08C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9" w15:restartNumberingAfterBreak="0">
    <w:nsid w:val="51810D83"/>
    <w:multiLevelType w:val="hybridMultilevel"/>
    <w:tmpl w:val="0EFAFD16"/>
    <w:styleLink w:val="ImportedStyle58"/>
    <w:lvl w:ilvl="0" w:tplc="F98862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2A6F7B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B86B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F461A5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A44E46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24A23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0E8BA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DD6398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E38916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53FC3F9C"/>
    <w:multiLevelType w:val="hybridMultilevel"/>
    <w:tmpl w:val="4014A614"/>
    <w:lvl w:ilvl="0" w:tplc="04090001">
      <w:start w:val="1"/>
      <w:numFmt w:val="bullet"/>
      <w:lvlText w:val=""/>
      <w:lvlJc w:val="left"/>
      <w:pPr>
        <w:ind w:left="720" w:hanging="360"/>
      </w:pPr>
      <w:rPr>
        <w:rFonts w:ascii="Symbol" w:hAnsi="Symbol" w:hint="default"/>
      </w:rPr>
    </w:lvl>
    <w:lvl w:ilvl="1" w:tplc="BC466928">
      <w:numFmt w:val="bullet"/>
      <w:lvlText w:val="•"/>
      <w:lvlJc w:val="left"/>
      <w:pPr>
        <w:ind w:left="1080" w:firstLine="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A47EB"/>
    <w:multiLevelType w:val="hybridMultilevel"/>
    <w:tmpl w:val="83A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4247F"/>
    <w:multiLevelType w:val="hybridMultilevel"/>
    <w:tmpl w:val="A37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071B9"/>
    <w:multiLevelType w:val="hybridMultilevel"/>
    <w:tmpl w:val="8AC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7774"/>
    <w:multiLevelType w:val="hybridMultilevel"/>
    <w:tmpl w:val="BB3E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068A4"/>
    <w:multiLevelType w:val="hybridMultilevel"/>
    <w:tmpl w:val="70C00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A5806"/>
    <w:multiLevelType w:val="hybridMultilevel"/>
    <w:tmpl w:val="0EFAFD16"/>
    <w:numStyleLink w:val="ImportedStyle58"/>
  </w:abstractNum>
  <w:abstractNum w:abstractNumId="37" w15:restartNumberingAfterBreak="0">
    <w:nsid w:val="65C9164A"/>
    <w:multiLevelType w:val="hybridMultilevel"/>
    <w:tmpl w:val="09FC7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1A7FD3"/>
    <w:multiLevelType w:val="hybridMultilevel"/>
    <w:tmpl w:val="09FC7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9E82BC9"/>
    <w:multiLevelType w:val="hybridMultilevel"/>
    <w:tmpl w:val="D82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E1974"/>
    <w:multiLevelType w:val="hybridMultilevel"/>
    <w:tmpl w:val="54D25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CC46EA"/>
    <w:multiLevelType w:val="hybridMultilevel"/>
    <w:tmpl w:val="E30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035B9"/>
    <w:multiLevelType w:val="multilevel"/>
    <w:tmpl w:val="5D68CA0C"/>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3" w15:restartNumberingAfterBreak="0">
    <w:nsid w:val="6CB17E46"/>
    <w:multiLevelType w:val="hybridMultilevel"/>
    <w:tmpl w:val="0C3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F111C"/>
    <w:multiLevelType w:val="hybridMultilevel"/>
    <w:tmpl w:val="2AA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57458"/>
    <w:multiLevelType w:val="hybridMultilevel"/>
    <w:tmpl w:val="225A2978"/>
    <w:lvl w:ilvl="0" w:tplc="9FEA3A8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91BF9"/>
    <w:multiLevelType w:val="multilevel"/>
    <w:tmpl w:val="B3F2CCC0"/>
    <w:lvl w:ilvl="0">
      <w:start w:val="3"/>
      <w:numFmt w:val="bullet"/>
      <w:lvlText w:val="-"/>
      <w:lvlJc w:val="left"/>
      <w:pPr>
        <w:ind w:left="720" w:hanging="360"/>
      </w:pPr>
      <w:rPr>
        <w:rFonts w:ascii="Georgia" w:eastAsiaTheme="minorEastAsia" w:hAnsi="Georgia" w:cstheme="minorBidi" w:hint="default"/>
        <w:color w:val="C5591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1"/>
  </w:num>
  <w:num w:numId="5">
    <w:abstractNumId w:val="7"/>
  </w:num>
  <w:num w:numId="6">
    <w:abstractNumId w:val="20"/>
  </w:num>
  <w:num w:numId="7">
    <w:abstractNumId w:val="44"/>
  </w:num>
  <w:num w:numId="8">
    <w:abstractNumId w:val="26"/>
  </w:num>
  <w:num w:numId="9">
    <w:abstractNumId w:val="23"/>
  </w:num>
  <w:num w:numId="10">
    <w:abstractNumId w:val="30"/>
  </w:num>
  <w:num w:numId="11">
    <w:abstractNumId w:val="0"/>
  </w:num>
  <w:num w:numId="12">
    <w:abstractNumId w:val="5"/>
  </w:num>
  <w:num w:numId="13">
    <w:abstractNumId w:val="45"/>
  </w:num>
  <w:num w:numId="14">
    <w:abstractNumId w:val="16"/>
  </w:num>
  <w:num w:numId="15">
    <w:abstractNumId w:val="21"/>
  </w:num>
  <w:num w:numId="16">
    <w:abstractNumId w:val="14"/>
  </w:num>
  <w:num w:numId="17">
    <w:abstractNumId w:val="19"/>
  </w:num>
  <w:num w:numId="18">
    <w:abstractNumId w:val="37"/>
  </w:num>
  <w:num w:numId="19">
    <w:abstractNumId w:val="22"/>
  </w:num>
  <w:num w:numId="20">
    <w:abstractNumId w:val="40"/>
  </w:num>
  <w:num w:numId="21">
    <w:abstractNumId w:val="17"/>
  </w:num>
  <w:num w:numId="22">
    <w:abstractNumId w:val="9"/>
  </w:num>
  <w:num w:numId="23">
    <w:abstractNumId w:val="15"/>
  </w:num>
  <w:num w:numId="24">
    <w:abstractNumId w:val="4"/>
  </w:num>
  <w:num w:numId="25">
    <w:abstractNumId w:val="42"/>
  </w:num>
  <w:num w:numId="26">
    <w:abstractNumId w:val="41"/>
  </w:num>
  <w:num w:numId="27">
    <w:abstractNumId w:val="13"/>
  </w:num>
  <w:num w:numId="28">
    <w:abstractNumId w:val="28"/>
  </w:num>
  <w:num w:numId="29">
    <w:abstractNumId w:val="33"/>
  </w:num>
  <w:num w:numId="30">
    <w:abstractNumId w:val="3"/>
  </w:num>
  <w:num w:numId="31">
    <w:abstractNumId w:val="35"/>
  </w:num>
  <w:num w:numId="32">
    <w:abstractNumId w:val="2"/>
  </w:num>
  <w:num w:numId="33">
    <w:abstractNumId w:val="36"/>
  </w:num>
  <w:num w:numId="34">
    <w:abstractNumId w:val="11"/>
  </w:num>
  <w:num w:numId="35">
    <w:abstractNumId w:val="29"/>
  </w:num>
  <w:num w:numId="36">
    <w:abstractNumId w:val="43"/>
  </w:num>
  <w:num w:numId="37">
    <w:abstractNumId w:val="25"/>
  </w:num>
  <w:num w:numId="38">
    <w:abstractNumId w:val="46"/>
  </w:num>
  <w:num w:numId="39">
    <w:abstractNumId w:val="10"/>
  </w:num>
  <w:num w:numId="40">
    <w:abstractNumId w:val="39"/>
  </w:num>
  <w:num w:numId="41">
    <w:abstractNumId w:val="18"/>
  </w:num>
  <w:num w:numId="42">
    <w:abstractNumId w:val="8"/>
  </w:num>
  <w:num w:numId="43">
    <w:abstractNumId w:val="32"/>
  </w:num>
  <w:num w:numId="44">
    <w:abstractNumId w:val="27"/>
  </w:num>
  <w:num w:numId="45">
    <w:abstractNumId w:val="1"/>
  </w:num>
  <w:num w:numId="46">
    <w:abstractNumId w:val="6"/>
  </w:num>
  <w:num w:numId="4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Dc3NzAxNwESxko6SsGpxcWZ+XkgBYa1AOiGJuIsAAAA"/>
  </w:docVars>
  <w:rsids>
    <w:rsidRoot w:val="00133BC3"/>
    <w:rsid w:val="00000813"/>
    <w:rsid w:val="00001497"/>
    <w:rsid w:val="00001FB2"/>
    <w:rsid w:val="0000226A"/>
    <w:rsid w:val="00002E6B"/>
    <w:rsid w:val="00003472"/>
    <w:rsid w:val="00003D5B"/>
    <w:rsid w:val="00005574"/>
    <w:rsid w:val="0000596B"/>
    <w:rsid w:val="000059FD"/>
    <w:rsid w:val="00005A61"/>
    <w:rsid w:val="00006505"/>
    <w:rsid w:val="00006FC8"/>
    <w:rsid w:val="0000701F"/>
    <w:rsid w:val="000075BA"/>
    <w:rsid w:val="00007B1E"/>
    <w:rsid w:val="00010764"/>
    <w:rsid w:val="00010BC1"/>
    <w:rsid w:val="00011871"/>
    <w:rsid w:val="00011A5C"/>
    <w:rsid w:val="00012873"/>
    <w:rsid w:val="00012983"/>
    <w:rsid w:val="0001380C"/>
    <w:rsid w:val="000142CF"/>
    <w:rsid w:val="00014428"/>
    <w:rsid w:val="00014F9A"/>
    <w:rsid w:val="00014FC9"/>
    <w:rsid w:val="00015142"/>
    <w:rsid w:val="000153AA"/>
    <w:rsid w:val="00015937"/>
    <w:rsid w:val="000159CC"/>
    <w:rsid w:val="000161A7"/>
    <w:rsid w:val="000167F9"/>
    <w:rsid w:val="00017BE7"/>
    <w:rsid w:val="0002019B"/>
    <w:rsid w:val="000201C9"/>
    <w:rsid w:val="00020B9A"/>
    <w:rsid w:val="00020C1F"/>
    <w:rsid w:val="000214BF"/>
    <w:rsid w:val="000219DC"/>
    <w:rsid w:val="00021DF9"/>
    <w:rsid w:val="00021EAE"/>
    <w:rsid w:val="0002201A"/>
    <w:rsid w:val="00022828"/>
    <w:rsid w:val="00022F3A"/>
    <w:rsid w:val="00022F3E"/>
    <w:rsid w:val="00023DAD"/>
    <w:rsid w:val="00024C5B"/>
    <w:rsid w:val="00024D92"/>
    <w:rsid w:val="000250E6"/>
    <w:rsid w:val="0002548A"/>
    <w:rsid w:val="00025CFC"/>
    <w:rsid w:val="00025E65"/>
    <w:rsid w:val="000260CA"/>
    <w:rsid w:val="00026631"/>
    <w:rsid w:val="000272FB"/>
    <w:rsid w:val="00027349"/>
    <w:rsid w:val="00027A9C"/>
    <w:rsid w:val="00027B6E"/>
    <w:rsid w:val="00027EBA"/>
    <w:rsid w:val="00027EEB"/>
    <w:rsid w:val="00030241"/>
    <w:rsid w:val="000302D8"/>
    <w:rsid w:val="00030DC6"/>
    <w:rsid w:val="00031054"/>
    <w:rsid w:val="0003148C"/>
    <w:rsid w:val="000326AE"/>
    <w:rsid w:val="000326C1"/>
    <w:rsid w:val="000326FD"/>
    <w:rsid w:val="00034550"/>
    <w:rsid w:val="00034554"/>
    <w:rsid w:val="000354D6"/>
    <w:rsid w:val="00035D7D"/>
    <w:rsid w:val="000363C4"/>
    <w:rsid w:val="000378A1"/>
    <w:rsid w:val="000378D7"/>
    <w:rsid w:val="00037969"/>
    <w:rsid w:val="000408BC"/>
    <w:rsid w:val="00041513"/>
    <w:rsid w:val="000428BE"/>
    <w:rsid w:val="00042EBC"/>
    <w:rsid w:val="0004439C"/>
    <w:rsid w:val="00044F8C"/>
    <w:rsid w:val="00045250"/>
    <w:rsid w:val="000455C8"/>
    <w:rsid w:val="000459AF"/>
    <w:rsid w:val="00045F6B"/>
    <w:rsid w:val="0004634F"/>
    <w:rsid w:val="00046B84"/>
    <w:rsid w:val="00047910"/>
    <w:rsid w:val="00050803"/>
    <w:rsid w:val="000508B1"/>
    <w:rsid w:val="00050A7F"/>
    <w:rsid w:val="00050C51"/>
    <w:rsid w:val="0005120B"/>
    <w:rsid w:val="00051F87"/>
    <w:rsid w:val="00052366"/>
    <w:rsid w:val="000524BB"/>
    <w:rsid w:val="0005297F"/>
    <w:rsid w:val="000529F3"/>
    <w:rsid w:val="00052C90"/>
    <w:rsid w:val="00052FD4"/>
    <w:rsid w:val="000530CA"/>
    <w:rsid w:val="000531EE"/>
    <w:rsid w:val="000532FB"/>
    <w:rsid w:val="000533A2"/>
    <w:rsid w:val="000533B9"/>
    <w:rsid w:val="0005573C"/>
    <w:rsid w:val="0005624C"/>
    <w:rsid w:val="000568A1"/>
    <w:rsid w:val="00056B65"/>
    <w:rsid w:val="00056CB8"/>
    <w:rsid w:val="00057DD6"/>
    <w:rsid w:val="00060CFB"/>
    <w:rsid w:val="00061272"/>
    <w:rsid w:val="00061931"/>
    <w:rsid w:val="00062032"/>
    <w:rsid w:val="000621B9"/>
    <w:rsid w:val="000624DC"/>
    <w:rsid w:val="0006276D"/>
    <w:rsid w:val="00062F03"/>
    <w:rsid w:val="0006336D"/>
    <w:rsid w:val="0006360B"/>
    <w:rsid w:val="000636BA"/>
    <w:rsid w:val="00063CB1"/>
    <w:rsid w:val="00064491"/>
    <w:rsid w:val="000646A0"/>
    <w:rsid w:val="0006527A"/>
    <w:rsid w:val="000656ED"/>
    <w:rsid w:val="000657E3"/>
    <w:rsid w:val="0006588C"/>
    <w:rsid w:val="00065EA5"/>
    <w:rsid w:val="0006696B"/>
    <w:rsid w:val="00066C60"/>
    <w:rsid w:val="00067811"/>
    <w:rsid w:val="00070005"/>
    <w:rsid w:val="0007117A"/>
    <w:rsid w:val="000715CC"/>
    <w:rsid w:val="00071C72"/>
    <w:rsid w:val="00072AEC"/>
    <w:rsid w:val="00072E0D"/>
    <w:rsid w:val="000732FD"/>
    <w:rsid w:val="0007476F"/>
    <w:rsid w:val="00074BB3"/>
    <w:rsid w:val="00075DE2"/>
    <w:rsid w:val="0007607B"/>
    <w:rsid w:val="00076E5A"/>
    <w:rsid w:val="00077B81"/>
    <w:rsid w:val="00080C4F"/>
    <w:rsid w:val="000819D5"/>
    <w:rsid w:val="0008266C"/>
    <w:rsid w:val="000829AC"/>
    <w:rsid w:val="00083209"/>
    <w:rsid w:val="000841BF"/>
    <w:rsid w:val="0008438B"/>
    <w:rsid w:val="000849E0"/>
    <w:rsid w:val="00085406"/>
    <w:rsid w:val="00085A3E"/>
    <w:rsid w:val="000860A7"/>
    <w:rsid w:val="000862F9"/>
    <w:rsid w:val="0008664E"/>
    <w:rsid w:val="00086DDA"/>
    <w:rsid w:val="00086F87"/>
    <w:rsid w:val="00087207"/>
    <w:rsid w:val="00087496"/>
    <w:rsid w:val="000875EF"/>
    <w:rsid w:val="0008764C"/>
    <w:rsid w:val="00087D63"/>
    <w:rsid w:val="000900A2"/>
    <w:rsid w:val="0009076C"/>
    <w:rsid w:val="0009269F"/>
    <w:rsid w:val="00092A15"/>
    <w:rsid w:val="000932F7"/>
    <w:rsid w:val="000933E5"/>
    <w:rsid w:val="00093589"/>
    <w:rsid w:val="00093E07"/>
    <w:rsid w:val="0009512D"/>
    <w:rsid w:val="00095477"/>
    <w:rsid w:val="00095619"/>
    <w:rsid w:val="00096CBF"/>
    <w:rsid w:val="00096E54"/>
    <w:rsid w:val="000977D2"/>
    <w:rsid w:val="00097B14"/>
    <w:rsid w:val="000A0210"/>
    <w:rsid w:val="000A0CB9"/>
    <w:rsid w:val="000A0D39"/>
    <w:rsid w:val="000A1679"/>
    <w:rsid w:val="000A189F"/>
    <w:rsid w:val="000A1A53"/>
    <w:rsid w:val="000A1AC5"/>
    <w:rsid w:val="000A1BBE"/>
    <w:rsid w:val="000A2455"/>
    <w:rsid w:val="000A2B44"/>
    <w:rsid w:val="000A2F33"/>
    <w:rsid w:val="000A353A"/>
    <w:rsid w:val="000A37A0"/>
    <w:rsid w:val="000A39E3"/>
    <w:rsid w:val="000A4230"/>
    <w:rsid w:val="000A4382"/>
    <w:rsid w:val="000A4940"/>
    <w:rsid w:val="000A5457"/>
    <w:rsid w:val="000A5766"/>
    <w:rsid w:val="000A5AC9"/>
    <w:rsid w:val="000A5F73"/>
    <w:rsid w:val="000A6F95"/>
    <w:rsid w:val="000A70E1"/>
    <w:rsid w:val="000A7C77"/>
    <w:rsid w:val="000A7D5D"/>
    <w:rsid w:val="000B021B"/>
    <w:rsid w:val="000B0746"/>
    <w:rsid w:val="000B095E"/>
    <w:rsid w:val="000B0B12"/>
    <w:rsid w:val="000B0FC2"/>
    <w:rsid w:val="000B1270"/>
    <w:rsid w:val="000B1F43"/>
    <w:rsid w:val="000B238C"/>
    <w:rsid w:val="000B2419"/>
    <w:rsid w:val="000B26E0"/>
    <w:rsid w:val="000B2B8D"/>
    <w:rsid w:val="000B2C30"/>
    <w:rsid w:val="000B3913"/>
    <w:rsid w:val="000B3F42"/>
    <w:rsid w:val="000B4914"/>
    <w:rsid w:val="000B4EF3"/>
    <w:rsid w:val="000B595D"/>
    <w:rsid w:val="000B5E12"/>
    <w:rsid w:val="000B5FE1"/>
    <w:rsid w:val="000B6809"/>
    <w:rsid w:val="000B74A9"/>
    <w:rsid w:val="000C0239"/>
    <w:rsid w:val="000C02AB"/>
    <w:rsid w:val="000C053F"/>
    <w:rsid w:val="000C0F23"/>
    <w:rsid w:val="000C14C0"/>
    <w:rsid w:val="000C16E0"/>
    <w:rsid w:val="000C185D"/>
    <w:rsid w:val="000C1E9A"/>
    <w:rsid w:val="000C2986"/>
    <w:rsid w:val="000C310D"/>
    <w:rsid w:val="000C3BBC"/>
    <w:rsid w:val="000C3C13"/>
    <w:rsid w:val="000C3D34"/>
    <w:rsid w:val="000C4326"/>
    <w:rsid w:val="000C4826"/>
    <w:rsid w:val="000C4F4E"/>
    <w:rsid w:val="000C5D65"/>
    <w:rsid w:val="000C5F47"/>
    <w:rsid w:val="000C6E97"/>
    <w:rsid w:val="000C7946"/>
    <w:rsid w:val="000C7995"/>
    <w:rsid w:val="000D0315"/>
    <w:rsid w:val="000D04EB"/>
    <w:rsid w:val="000D0596"/>
    <w:rsid w:val="000D0A10"/>
    <w:rsid w:val="000D1521"/>
    <w:rsid w:val="000D1BFF"/>
    <w:rsid w:val="000D1DCB"/>
    <w:rsid w:val="000D1F58"/>
    <w:rsid w:val="000D1FEA"/>
    <w:rsid w:val="000D21F3"/>
    <w:rsid w:val="000D2930"/>
    <w:rsid w:val="000D2C1B"/>
    <w:rsid w:val="000D2D86"/>
    <w:rsid w:val="000D35A6"/>
    <w:rsid w:val="000D418B"/>
    <w:rsid w:val="000D458E"/>
    <w:rsid w:val="000D4A40"/>
    <w:rsid w:val="000D4E5F"/>
    <w:rsid w:val="000D541B"/>
    <w:rsid w:val="000D597B"/>
    <w:rsid w:val="000D5CA7"/>
    <w:rsid w:val="000D6318"/>
    <w:rsid w:val="000D6467"/>
    <w:rsid w:val="000D650A"/>
    <w:rsid w:val="000D6826"/>
    <w:rsid w:val="000D70AA"/>
    <w:rsid w:val="000D74EB"/>
    <w:rsid w:val="000D7BB6"/>
    <w:rsid w:val="000D7DFE"/>
    <w:rsid w:val="000D7E15"/>
    <w:rsid w:val="000E02AE"/>
    <w:rsid w:val="000E09BF"/>
    <w:rsid w:val="000E14DD"/>
    <w:rsid w:val="000E15D0"/>
    <w:rsid w:val="000E17C5"/>
    <w:rsid w:val="000E1B06"/>
    <w:rsid w:val="000E2109"/>
    <w:rsid w:val="000E254C"/>
    <w:rsid w:val="000E2966"/>
    <w:rsid w:val="000E2BE4"/>
    <w:rsid w:val="000E3D56"/>
    <w:rsid w:val="000E4373"/>
    <w:rsid w:val="000E4A00"/>
    <w:rsid w:val="000E4EAE"/>
    <w:rsid w:val="000E6AE8"/>
    <w:rsid w:val="000E6DC0"/>
    <w:rsid w:val="000E71C5"/>
    <w:rsid w:val="000E7210"/>
    <w:rsid w:val="000E75D7"/>
    <w:rsid w:val="000F0018"/>
    <w:rsid w:val="000F022A"/>
    <w:rsid w:val="000F0272"/>
    <w:rsid w:val="000F07C4"/>
    <w:rsid w:val="000F09F7"/>
    <w:rsid w:val="000F0EC3"/>
    <w:rsid w:val="000F0EF7"/>
    <w:rsid w:val="000F1240"/>
    <w:rsid w:val="000F15D9"/>
    <w:rsid w:val="000F2CC5"/>
    <w:rsid w:val="000F2F57"/>
    <w:rsid w:val="000F4E9C"/>
    <w:rsid w:val="000F6DE7"/>
    <w:rsid w:val="000F70C3"/>
    <w:rsid w:val="000F75DA"/>
    <w:rsid w:val="000F7A2B"/>
    <w:rsid w:val="00100AD7"/>
    <w:rsid w:val="00100E4F"/>
    <w:rsid w:val="00101A61"/>
    <w:rsid w:val="00101C65"/>
    <w:rsid w:val="00101F39"/>
    <w:rsid w:val="00102A58"/>
    <w:rsid w:val="00103458"/>
    <w:rsid w:val="0010408D"/>
    <w:rsid w:val="00105261"/>
    <w:rsid w:val="0010557B"/>
    <w:rsid w:val="0010590B"/>
    <w:rsid w:val="00106F0D"/>
    <w:rsid w:val="001070DB"/>
    <w:rsid w:val="0010719A"/>
    <w:rsid w:val="00107587"/>
    <w:rsid w:val="00107AE2"/>
    <w:rsid w:val="00110028"/>
    <w:rsid w:val="001107BC"/>
    <w:rsid w:val="00110A91"/>
    <w:rsid w:val="00112337"/>
    <w:rsid w:val="0011264A"/>
    <w:rsid w:val="00112983"/>
    <w:rsid w:val="0011298A"/>
    <w:rsid w:val="00112A02"/>
    <w:rsid w:val="00113AAF"/>
    <w:rsid w:val="001143BA"/>
    <w:rsid w:val="00115AE5"/>
    <w:rsid w:val="00115B1E"/>
    <w:rsid w:val="00115F0D"/>
    <w:rsid w:val="00116074"/>
    <w:rsid w:val="001167DD"/>
    <w:rsid w:val="001169CC"/>
    <w:rsid w:val="00117403"/>
    <w:rsid w:val="00117790"/>
    <w:rsid w:val="00117CCE"/>
    <w:rsid w:val="00120E4D"/>
    <w:rsid w:val="00121146"/>
    <w:rsid w:val="00121624"/>
    <w:rsid w:val="001217D0"/>
    <w:rsid w:val="001218B2"/>
    <w:rsid w:val="00121B7C"/>
    <w:rsid w:val="0012350E"/>
    <w:rsid w:val="00123D19"/>
    <w:rsid w:val="00124247"/>
    <w:rsid w:val="0012454A"/>
    <w:rsid w:val="00124EE8"/>
    <w:rsid w:val="00124F07"/>
    <w:rsid w:val="0012506E"/>
    <w:rsid w:val="0012548C"/>
    <w:rsid w:val="00125594"/>
    <w:rsid w:val="0012565D"/>
    <w:rsid w:val="0012633D"/>
    <w:rsid w:val="0012636F"/>
    <w:rsid w:val="001265F7"/>
    <w:rsid w:val="00126A89"/>
    <w:rsid w:val="00127D5C"/>
    <w:rsid w:val="001308E0"/>
    <w:rsid w:val="00131D40"/>
    <w:rsid w:val="001326C4"/>
    <w:rsid w:val="00132EDE"/>
    <w:rsid w:val="0013364A"/>
    <w:rsid w:val="00133BC3"/>
    <w:rsid w:val="00133BDA"/>
    <w:rsid w:val="00134085"/>
    <w:rsid w:val="00134BFB"/>
    <w:rsid w:val="00134D99"/>
    <w:rsid w:val="00135C31"/>
    <w:rsid w:val="001368DD"/>
    <w:rsid w:val="00136EDE"/>
    <w:rsid w:val="001400EB"/>
    <w:rsid w:val="00140393"/>
    <w:rsid w:val="001409DB"/>
    <w:rsid w:val="001415B5"/>
    <w:rsid w:val="00141D29"/>
    <w:rsid w:val="001422AD"/>
    <w:rsid w:val="00143C6F"/>
    <w:rsid w:val="00143E9F"/>
    <w:rsid w:val="00143F3B"/>
    <w:rsid w:val="00144280"/>
    <w:rsid w:val="00144C83"/>
    <w:rsid w:val="00145B8A"/>
    <w:rsid w:val="00145E59"/>
    <w:rsid w:val="00146C56"/>
    <w:rsid w:val="001470A6"/>
    <w:rsid w:val="001476BC"/>
    <w:rsid w:val="001502F0"/>
    <w:rsid w:val="00150448"/>
    <w:rsid w:val="001504FD"/>
    <w:rsid w:val="00150F62"/>
    <w:rsid w:val="00151577"/>
    <w:rsid w:val="00151F7B"/>
    <w:rsid w:val="0015278D"/>
    <w:rsid w:val="00152948"/>
    <w:rsid w:val="00152A9D"/>
    <w:rsid w:val="00152C12"/>
    <w:rsid w:val="00152CE9"/>
    <w:rsid w:val="001539CE"/>
    <w:rsid w:val="00154170"/>
    <w:rsid w:val="00155355"/>
    <w:rsid w:val="00155694"/>
    <w:rsid w:val="001559E2"/>
    <w:rsid w:val="00155DF4"/>
    <w:rsid w:val="001564FC"/>
    <w:rsid w:val="0015703A"/>
    <w:rsid w:val="00157488"/>
    <w:rsid w:val="00157597"/>
    <w:rsid w:val="00157AAB"/>
    <w:rsid w:val="00157FA1"/>
    <w:rsid w:val="00160F94"/>
    <w:rsid w:val="00161FC5"/>
    <w:rsid w:val="0016266F"/>
    <w:rsid w:val="001626B9"/>
    <w:rsid w:val="0016326A"/>
    <w:rsid w:val="0016369B"/>
    <w:rsid w:val="00163808"/>
    <w:rsid w:val="00163B3F"/>
    <w:rsid w:val="00164767"/>
    <w:rsid w:val="00164CBA"/>
    <w:rsid w:val="00164D7E"/>
    <w:rsid w:val="00164E2F"/>
    <w:rsid w:val="00165042"/>
    <w:rsid w:val="001650D5"/>
    <w:rsid w:val="00165E17"/>
    <w:rsid w:val="001663F2"/>
    <w:rsid w:val="00166417"/>
    <w:rsid w:val="00166586"/>
    <w:rsid w:val="00166E74"/>
    <w:rsid w:val="00166ECF"/>
    <w:rsid w:val="0016747F"/>
    <w:rsid w:val="00167641"/>
    <w:rsid w:val="0016775B"/>
    <w:rsid w:val="00170434"/>
    <w:rsid w:val="00170943"/>
    <w:rsid w:val="00170AD5"/>
    <w:rsid w:val="00170EB2"/>
    <w:rsid w:val="001713AC"/>
    <w:rsid w:val="001716FA"/>
    <w:rsid w:val="001719D0"/>
    <w:rsid w:val="00171C0C"/>
    <w:rsid w:val="00171F77"/>
    <w:rsid w:val="0017206C"/>
    <w:rsid w:val="0017296E"/>
    <w:rsid w:val="00172C3C"/>
    <w:rsid w:val="00172CE8"/>
    <w:rsid w:val="0017382D"/>
    <w:rsid w:val="00173B03"/>
    <w:rsid w:val="001742E2"/>
    <w:rsid w:val="001749DF"/>
    <w:rsid w:val="0017545A"/>
    <w:rsid w:val="00176997"/>
    <w:rsid w:val="001800ED"/>
    <w:rsid w:val="0018086C"/>
    <w:rsid w:val="00180BF6"/>
    <w:rsid w:val="00180C6D"/>
    <w:rsid w:val="001811EB"/>
    <w:rsid w:val="00181569"/>
    <w:rsid w:val="00181C69"/>
    <w:rsid w:val="00181EFD"/>
    <w:rsid w:val="00182675"/>
    <w:rsid w:val="00182B25"/>
    <w:rsid w:val="00183808"/>
    <w:rsid w:val="00183E9E"/>
    <w:rsid w:val="00184B63"/>
    <w:rsid w:val="00184F17"/>
    <w:rsid w:val="00185045"/>
    <w:rsid w:val="00185173"/>
    <w:rsid w:val="00185551"/>
    <w:rsid w:val="00186941"/>
    <w:rsid w:val="00187734"/>
    <w:rsid w:val="00187D34"/>
    <w:rsid w:val="001910C7"/>
    <w:rsid w:val="00191834"/>
    <w:rsid w:val="00191F45"/>
    <w:rsid w:val="00191FC9"/>
    <w:rsid w:val="00192972"/>
    <w:rsid w:val="00192E12"/>
    <w:rsid w:val="0019385E"/>
    <w:rsid w:val="001938FF"/>
    <w:rsid w:val="00194352"/>
    <w:rsid w:val="001949E1"/>
    <w:rsid w:val="00195BD7"/>
    <w:rsid w:val="00196EFC"/>
    <w:rsid w:val="001970FD"/>
    <w:rsid w:val="00197177"/>
    <w:rsid w:val="001975EC"/>
    <w:rsid w:val="0019768E"/>
    <w:rsid w:val="00197A5A"/>
    <w:rsid w:val="00197B10"/>
    <w:rsid w:val="00197D9D"/>
    <w:rsid w:val="001A007C"/>
    <w:rsid w:val="001A0624"/>
    <w:rsid w:val="001A09D3"/>
    <w:rsid w:val="001A0A35"/>
    <w:rsid w:val="001A1596"/>
    <w:rsid w:val="001A2593"/>
    <w:rsid w:val="001A3C77"/>
    <w:rsid w:val="001A3D0C"/>
    <w:rsid w:val="001A3D9D"/>
    <w:rsid w:val="001A4039"/>
    <w:rsid w:val="001A4BF7"/>
    <w:rsid w:val="001A4F82"/>
    <w:rsid w:val="001A54DB"/>
    <w:rsid w:val="001A5A61"/>
    <w:rsid w:val="001A6012"/>
    <w:rsid w:val="001A6A46"/>
    <w:rsid w:val="001A6DEB"/>
    <w:rsid w:val="001A6E64"/>
    <w:rsid w:val="001A7A5C"/>
    <w:rsid w:val="001A7BA3"/>
    <w:rsid w:val="001B177A"/>
    <w:rsid w:val="001B1DC0"/>
    <w:rsid w:val="001B23CD"/>
    <w:rsid w:val="001B367C"/>
    <w:rsid w:val="001B36FD"/>
    <w:rsid w:val="001B379B"/>
    <w:rsid w:val="001B4195"/>
    <w:rsid w:val="001B4DAE"/>
    <w:rsid w:val="001B4E08"/>
    <w:rsid w:val="001B59AF"/>
    <w:rsid w:val="001B6B9F"/>
    <w:rsid w:val="001B6F91"/>
    <w:rsid w:val="001C04F7"/>
    <w:rsid w:val="001C153E"/>
    <w:rsid w:val="001C279B"/>
    <w:rsid w:val="001C2828"/>
    <w:rsid w:val="001C489E"/>
    <w:rsid w:val="001C50CF"/>
    <w:rsid w:val="001C5896"/>
    <w:rsid w:val="001C5A80"/>
    <w:rsid w:val="001C7114"/>
    <w:rsid w:val="001C733F"/>
    <w:rsid w:val="001C7433"/>
    <w:rsid w:val="001C796D"/>
    <w:rsid w:val="001D010E"/>
    <w:rsid w:val="001D0838"/>
    <w:rsid w:val="001D0F83"/>
    <w:rsid w:val="001D1A57"/>
    <w:rsid w:val="001D275C"/>
    <w:rsid w:val="001D4575"/>
    <w:rsid w:val="001D4825"/>
    <w:rsid w:val="001D5994"/>
    <w:rsid w:val="001D70CC"/>
    <w:rsid w:val="001E05AB"/>
    <w:rsid w:val="001E0A03"/>
    <w:rsid w:val="001E0BED"/>
    <w:rsid w:val="001E0E5C"/>
    <w:rsid w:val="001E0FED"/>
    <w:rsid w:val="001E157F"/>
    <w:rsid w:val="001E2235"/>
    <w:rsid w:val="001E2486"/>
    <w:rsid w:val="001E24B4"/>
    <w:rsid w:val="001E28DE"/>
    <w:rsid w:val="001E3589"/>
    <w:rsid w:val="001E372E"/>
    <w:rsid w:val="001E3BAD"/>
    <w:rsid w:val="001E3ECE"/>
    <w:rsid w:val="001E4ED0"/>
    <w:rsid w:val="001E5677"/>
    <w:rsid w:val="001E5A4B"/>
    <w:rsid w:val="001E6322"/>
    <w:rsid w:val="001E637A"/>
    <w:rsid w:val="001E6713"/>
    <w:rsid w:val="001E67D1"/>
    <w:rsid w:val="001E6E24"/>
    <w:rsid w:val="001E6FB8"/>
    <w:rsid w:val="001E7018"/>
    <w:rsid w:val="001E7E4A"/>
    <w:rsid w:val="001F0C05"/>
    <w:rsid w:val="001F1341"/>
    <w:rsid w:val="001F1756"/>
    <w:rsid w:val="001F1BB0"/>
    <w:rsid w:val="001F1DE7"/>
    <w:rsid w:val="001F2414"/>
    <w:rsid w:val="001F2617"/>
    <w:rsid w:val="001F281B"/>
    <w:rsid w:val="001F2B8A"/>
    <w:rsid w:val="001F3F79"/>
    <w:rsid w:val="001F43A4"/>
    <w:rsid w:val="001F46AE"/>
    <w:rsid w:val="001F4B2A"/>
    <w:rsid w:val="001F4EEC"/>
    <w:rsid w:val="001F588C"/>
    <w:rsid w:val="001F67AD"/>
    <w:rsid w:val="001F6AD9"/>
    <w:rsid w:val="001F75B0"/>
    <w:rsid w:val="001F7A6F"/>
    <w:rsid w:val="001F7DCF"/>
    <w:rsid w:val="002005AA"/>
    <w:rsid w:val="00200795"/>
    <w:rsid w:val="002007A8"/>
    <w:rsid w:val="00200B9C"/>
    <w:rsid w:val="00200D05"/>
    <w:rsid w:val="00200EE8"/>
    <w:rsid w:val="0020154A"/>
    <w:rsid w:val="00202E07"/>
    <w:rsid w:val="0020365D"/>
    <w:rsid w:val="00203A96"/>
    <w:rsid w:val="00203B47"/>
    <w:rsid w:val="00203E1D"/>
    <w:rsid w:val="0020489A"/>
    <w:rsid w:val="00204A26"/>
    <w:rsid w:val="00204B57"/>
    <w:rsid w:val="00205423"/>
    <w:rsid w:val="00206346"/>
    <w:rsid w:val="002063CB"/>
    <w:rsid w:val="00206A35"/>
    <w:rsid w:val="00206D86"/>
    <w:rsid w:val="00207AEA"/>
    <w:rsid w:val="00210076"/>
    <w:rsid w:val="00210A94"/>
    <w:rsid w:val="002111F2"/>
    <w:rsid w:val="00211B6E"/>
    <w:rsid w:val="00211D4E"/>
    <w:rsid w:val="002121A0"/>
    <w:rsid w:val="0021249B"/>
    <w:rsid w:val="0021258F"/>
    <w:rsid w:val="00212811"/>
    <w:rsid w:val="00212D44"/>
    <w:rsid w:val="00212EEA"/>
    <w:rsid w:val="00213990"/>
    <w:rsid w:val="00213D50"/>
    <w:rsid w:val="00214C3C"/>
    <w:rsid w:val="00214F38"/>
    <w:rsid w:val="00215E72"/>
    <w:rsid w:val="00216044"/>
    <w:rsid w:val="0021675C"/>
    <w:rsid w:val="0021716D"/>
    <w:rsid w:val="002174D5"/>
    <w:rsid w:val="00217782"/>
    <w:rsid w:val="00217B58"/>
    <w:rsid w:val="002202B5"/>
    <w:rsid w:val="002205EE"/>
    <w:rsid w:val="0022072A"/>
    <w:rsid w:val="002210F5"/>
    <w:rsid w:val="002217F5"/>
    <w:rsid w:val="00222D9C"/>
    <w:rsid w:val="0022337E"/>
    <w:rsid w:val="00223493"/>
    <w:rsid w:val="0022437A"/>
    <w:rsid w:val="002245B7"/>
    <w:rsid w:val="00224B19"/>
    <w:rsid w:val="00225012"/>
    <w:rsid w:val="00225FCE"/>
    <w:rsid w:val="0022685F"/>
    <w:rsid w:val="00226D1E"/>
    <w:rsid w:val="00226D58"/>
    <w:rsid w:val="002270FC"/>
    <w:rsid w:val="002272FE"/>
    <w:rsid w:val="00227C7A"/>
    <w:rsid w:val="0023012E"/>
    <w:rsid w:val="00234240"/>
    <w:rsid w:val="002343C4"/>
    <w:rsid w:val="002347AB"/>
    <w:rsid w:val="00235268"/>
    <w:rsid w:val="00235528"/>
    <w:rsid w:val="002361CA"/>
    <w:rsid w:val="00236ADC"/>
    <w:rsid w:val="00236C3D"/>
    <w:rsid w:val="00236F1F"/>
    <w:rsid w:val="00240235"/>
    <w:rsid w:val="00240758"/>
    <w:rsid w:val="00240B00"/>
    <w:rsid w:val="002416C6"/>
    <w:rsid w:val="00241E9C"/>
    <w:rsid w:val="0024314A"/>
    <w:rsid w:val="002435C9"/>
    <w:rsid w:val="00243736"/>
    <w:rsid w:val="00243C1D"/>
    <w:rsid w:val="00243F46"/>
    <w:rsid w:val="00245804"/>
    <w:rsid w:val="00245891"/>
    <w:rsid w:val="00245B38"/>
    <w:rsid w:val="00245FC8"/>
    <w:rsid w:val="00246898"/>
    <w:rsid w:val="0024693E"/>
    <w:rsid w:val="002478BF"/>
    <w:rsid w:val="00247B9E"/>
    <w:rsid w:val="00250354"/>
    <w:rsid w:val="00250BB3"/>
    <w:rsid w:val="00250D10"/>
    <w:rsid w:val="00251D4B"/>
    <w:rsid w:val="00252458"/>
    <w:rsid w:val="00252848"/>
    <w:rsid w:val="00252D87"/>
    <w:rsid w:val="002535D7"/>
    <w:rsid w:val="002546ED"/>
    <w:rsid w:val="0025489A"/>
    <w:rsid w:val="00254920"/>
    <w:rsid w:val="00254AF1"/>
    <w:rsid w:val="00254C47"/>
    <w:rsid w:val="0025526A"/>
    <w:rsid w:val="00255276"/>
    <w:rsid w:val="00255887"/>
    <w:rsid w:val="002567CB"/>
    <w:rsid w:val="002572B1"/>
    <w:rsid w:val="00257DDF"/>
    <w:rsid w:val="00260FD5"/>
    <w:rsid w:val="002617DA"/>
    <w:rsid w:val="00261923"/>
    <w:rsid w:val="00261A9B"/>
    <w:rsid w:val="0026423E"/>
    <w:rsid w:val="002648F0"/>
    <w:rsid w:val="00264C23"/>
    <w:rsid w:val="00264E5A"/>
    <w:rsid w:val="00265070"/>
    <w:rsid w:val="00265108"/>
    <w:rsid w:val="00265B25"/>
    <w:rsid w:val="00265E51"/>
    <w:rsid w:val="00265F83"/>
    <w:rsid w:val="00266BA1"/>
    <w:rsid w:val="00267AED"/>
    <w:rsid w:val="0027029F"/>
    <w:rsid w:val="00270303"/>
    <w:rsid w:val="00270DA4"/>
    <w:rsid w:val="002723D6"/>
    <w:rsid w:val="00272AA9"/>
    <w:rsid w:val="00272FE6"/>
    <w:rsid w:val="00273C33"/>
    <w:rsid w:val="00275294"/>
    <w:rsid w:val="002762EA"/>
    <w:rsid w:val="002774C4"/>
    <w:rsid w:val="00277E18"/>
    <w:rsid w:val="002803E6"/>
    <w:rsid w:val="00280630"/>
    <w:rsid w:val="00280D22"/>
    <w:rsid w:val="00281349"/>
    <w:rsid w:val="002814A5"/>
    <w:rsid w:val="002817AD"/>
    <w:rsid w:val="002818CE"/>
    <w:rsid w:val="00281A78"/>
    <w:rsid w:val="00281E9B"/>
    <w:rsid w:val="00282313"/>
    <w:rsid w:val="00283ECF"/>
    <w:rsid w:val="0028413E"/>
    <w:rsid w:val="0028491F"/>
    <w:rsid w:val="00285231"/>
    <w:rsid w:val="00285562"/>
    <w:rsid w:val="00285B23"/>
    <w:rsid w:val="00286F22"/>
    <w:rsid w:val="002877AF"/>
    <w:rsid w:val="00287890"/>
    <w:rsid w:val="002878E9"/>
    <w:rsid w:val="00287F4C"/>
    <w:rsid w:val="00290146"/>
    <w:rsid w:val="00290458"/>
    <w:rsid w:val="00290C15"/>
    <w:rsid w:val="00290C28"/>
    <w:rsid w:val="00290CC2"/>
    <w:rsid w:val="00291137"/>
    <w:rsid w:val="002925C5"/>
    <w:rsid w:val="002925DA"/>
    <w:rsid w:val="00292617"/>
    <w:rsid w:val="00292FAC"/>
    <w:rsid w:val="00293146"/>
    <w:rsid w:val="002938D1"/>
    <w:rsid w:val="00293C1C"/>
    <w:rsid w:val="00294351"/>
    <w:rsid w:val="00294C0C"/>
    <w:rsid w:val="00294EF2"/>
    <w:rsid w:val="00295920"/>
    <w:rsid w:val="00295F03"/>
    <w:rsid w:val="0029621C"/>
    <w:rsid w:val="00296C48"/>
    <w:rsid w:val="002972C0"/>
    <w:rsid w:val="00297414"/>
    <w:rsid w:val="0029775E"/>
    <w:rsid w:val="002A01DC"/>
    <w:rsid w:val="002A03D3"/>
    <w:rsid w:val="002A0688"/>
    <w:rsid w:val="002A0816"/>
    <w:rsid w:val="002A219B"/>
    <w:rsid w:val="002A2392"/>
    <w:rsid w:val="002A2DF5"/>
    <w:rsid w:val="002A3103"/>
    <w:rsid w:val="002A3BFE"/>
    <w:rsid w:val="002A3EB9"/>
    <w:rsid w:val="002A3EEC"/>
    <w:rsid w:val="002A3F2D"/>
    <w:rsid w:val="002A3F5C"/>
    <w:rsid w:val="002A49EF"/>
    <w:rsid w:val="002A4E90"/>
    <w:rsid w:val="002A51A4"/>
    <w:rsid w:val="002A569C"/>
    <w:rsid w:val="002A62FB"/>
    <w:rsid w:val="002A6414"/>
    <w:rsid w:val="002A71D9"/>
    <w:rsid w:val="002A79A2"/>
    <w:rsid w:val="002B0626"/>
    <w:rsid w:val="002B0D91"/>
    <w:rsid w:val="002B1AB3"/>
    <w:rsid w:val="002B1B7A"/>
    <w:rsid w:val="002B219D"/>
    <w:rsid w:val="002B2B59"/>
    <w:rsid w:val="002B3937"/>
    <w:rsid w:val="002B413B"/>
    <w:rsid w:val="002B4239"/>
    <w:rsid w:val="002B4F73"/>
    <w:rsid w:val="002B5D02"/>
    <w:rsid w:val="002B63E1"/>
    <w:rsid w:val="002B7D85"/>
    <w:rsid w:val="002C0871"/>
    <w:rsid w:val="002C08D7"/>
    <w:rsid w:val="002C1572"/>
    <w:rsid w:val="002C1A78"/>
    <w:rsid w:val="002C25E8"/>
    <w:rsid w:val="002C275F"/>
    <w:rsid w:val="002C3026"/>
    <w:rsid w:val="002C3F15"/>
    <w:rsid w:val="002C4071"/>
    <w:rsid w:val="002C49E0"/>
    <w:rsid w:val="002C4C75"/>
    <w:rsid w:val="002C56D3"/>
    <w:rsid w:val="002C59AF"/>
    <w:rsid w:val="002C5B1C"/>
    <w:rsid w:val="002C5C94"/>
    <w:rsid w:val="002C5D54"/>
    <w:rsid w:val="002C669A"/>
    <w:rsid w:val="002C6D3A"/>
    <w:rsid w:val="002C6DBE"/>
    <w:rsid w:val="002C796E"/>
    <w:rsid w:val="002D0169"/>
    <w:rsid w:val="002D058E"/>
    <w:rsid w:val="002D13B1"/>
    <w:rsid w:val="002D17B9"/>
    <w:rsid w:val="002D20BF"/>
    <w:rsid w:val="002D27EF"/>
    <w:rsid w:val="002D37D4"/>
    <w:rsid w:val="002D3AE4"/>
    <w:rsid w:val="002D4175"/>
    <w:rsid w:val="002D4AC3"/>
    <w:rsid w:val="002D61C8"/>
    <w:rsid w:val="002D6344"/>
    <w:rsid w:val="002D65AB"/>
    <w:rsid w:val="002D6604"/>
    <w:rsid w:val="002D6AF2"/>
    <w:rsid w:val="002D6BB0"/>
    <w:rsid w:val="002D71FD"/>
    <w:rsid w:val="002D76DB"/>
    <w:rsid w:val="002E04D0"/>
    <w:rsid w:val="002E088D"/>
    <w:rsid w:val="002E0FB6"/>
    <w:rsid w:val="002E1D08"/>
    <w:rsid w:val="002E1E2A"/>
    <w:rsid w:val="002E21B9"/>
    <w:rsid w:val="002E2739"/>
    <w:rsid w:val="002E3608"/>
    <w:rsid w:val="002E3C62"/>
    <w:rsid w:val="002E4220"/>
    <w:rsid w:val="002E4676"/>
    <w:rsid w:val="002E46D1"/>
    <w:rsid w:val="002E47A6"/>
    <w:rsid w:val="002E4D3D"/>
    <w:rsid w:val="002E5222"/>
    <w:rsid w:val="002E57BF"/>
    <w:rsid w:val="002E5A78"/>
    <w:rsid w:val="002E7146"/>
    <w:rsid w:val="002E7253"/>
    <w:rsid w:val="002F1263"/>
    <w:rsid w:val="002F12A5"/>
    <w:rsid w:val="002F136D"/>
    <w:rsid w:val="002F13B7"/>
    <w:rsid w:val="002F16CE"/>
    <w:rsid w:val="002F18E6"/>
    <w:rsid w:val="002F1929"/>
    <w:rsid w:val="002F24FA"/>
    <w:rsid w:val="002F2DD8"/>
    <w:rsid w:val="002F5016"/>
    <w:rsid w:val="002F5E0D"/>
    <w:rsid w:val="002F625E"/>
    <w:rsid w:val="002F726F"/>
    <w:rsid w:val="002F73D8"/>
    <w:rsid w:val="003005B4"/>
    <w:rsid w:val="00300B1F"/>
    <w:rsid w:val="0030120A"/>
    <w:rsid w:val="0030183B"/>
    <w:rsid w:val="003018EE"/>
    <w:rsid w:val="00302438"/>
    <w:rsid w:val="003046EB"/>
    <w:rsid w:val="00305643"/>
    <w:rsid w:val="003057D7"/>
    <w:rsid w:val="0030763D"/>
    <w:rsid w:val="003106B6"/>
    <w:rsid w:val="0031076C"/>
    <w:rsid w:val="00310BE2"/>
    <w:rsid w:val="00311203"/>
    <w:rsid w:val="003114B9"/>
    <w:rsid w:val="003115C4"/>
    <w:rsid w:val="003121C0"/>
    <w:rsid w:val="00312CBC"/>
    <w:rsid w:val="003142F5"/>
    <w:rsid w:val="00314D08"/>
    <w:rsid w:val="00314F1F"/>
    <w:rsid w:val="0031685F"/>
    <w:rsid w:val="003170C8"/>
    <w:rsid w:val="003173DC"/>
    <w:rsid w:val="00317403"/>
    <w:rsid w:val="00317AD6"/>
    <w:rsid w:val="00320697"/>
    <w:rsid w:val="003209EA"/>
    <w:rsid w:val="00320BDD"/>
    <w:rsid w:val="00320D0E"/>
    <w:rsid w:val="003214DE"/>
    <w:rsid w:val="0032219C"/>
    <w:rsid w:val="00322705"/>
    <w:rsid w:val="00322AFE"/>
    <w:rsid w:val="00323105"/>
    <w:rsid w:val="00324A28"/>
    <w:rsid w:val="00325128"/>
    <w:rsid w:val="003253B4"/>
    <w:rsid w:val="003253FA"/>
    <w:rsid w:val="00325AC3"/>
    <w:rsid w:val="00325C74"/>
    <w:rsid w:val="00325D16"/>
    <w:rsid w:val="00326343"/>
    <w:rsid w:val="00326965"/>
    <w:rsid w:val="00326B20"/>
    <w:rsid w:val="00327048"/>
    <w:rsid w:val="0032750C"/>
    <w:rsid w:val="00327B6D"/>
    <w:rsid w:val="0033140A"/>
    <w:rsid w:val="00331CCC"/>
    <w:rsid w:val="0033212E"/>
    <w:rsid w:val="003321BD"/>
    <w:rsid w:val="003328E7"/>
    <w:rsid w:val="0033326E"/>
    <w:rsid w:val="003334AF"/>
    <w:rsid w:val="00333872"/>
    <w:rsid w:val="003343A1"/>
    <w:rsid w:val="0033477B"/>
    <w:rsid w:val="00335563"/>
    <w:rsid w:val="0033671D"/>
    <w:rsid w:val="00336749"/>
    <w:rsid w:val="00336F27"/>
    <w:rsid w:val="0033724B"/>
    <w:rsid w:val="003372A1"/>
    <w:rsid w:val="00337FD6"/>
    <w:rsid w:val="0034015A"/>
    <w:rsid w:val="00341427"/>
    <w:rsid w:val="003417E9"/>
    <w:rsid w:val="00341A02"/>
    <w:rsid w:val="00341BA7"/>
    <w:rsid w:val="00342008"/>
    <w:rsid w:val="00342331"/>
    <w:rsid w:val="0034264F"/>
    <w:rsid w:val="00342B34"/>
    <w:rsid w:val="00343C62"/>
    <w:rsid w:val="0034435D"/>
    <w:rsid w:val="00344624"/>
    <w:rsid w:val="003449E1"/>
    <w:rsid w:val="003458C0"/>
    <w:rsid w:val="00345C22"/>
    <w:rsid w:val="00346427"/>
    <w:rsid w:val="00346B09"/>
    <w:rsid w:val="00346BA1"/>
    <w:rsid w:val="00346F7A"/>
    <w:rsid w:val="003474CB"/>
    <w:rsid w:val="00347576"/>
    <w:rsid w:val="003476B3"/>
    <w:rsid w:val="00350E7E"/>
    <w:rsid w:val="003513DB"/>
    <w:rsid w:val="00351C03"/>
    <w:rsid w:val="003524A5"/>
    <w:rsid w:val="0035345D"/>
    <w:rsid w:val="00354001"/>
    <w:rsid w:val="00354C06"/>
    <w:rsid w:val="00355063"/>
    <w:rsid w:val="00355332"/>
    <w:rsid w:val="003554E8"/>
    <w:rsid w:val="003557FE"/>
    <w:rsid w:val="003559D8"/>
    <w:rsid w:val="00355EDD"/>
    <w:rsid w:val="00356B82"/>
    <w:rsid w:val="00356C34"/>
    <w:rsid w:val="0035737A"/>
    <w:rsid w:val="00357685"/>
    <w:rsid w:val="00357826"/>
    <w:rsid w:val="0036001B"/>
    <w:rsid w:val="00360144"/>
    <w:rsid w:val="003615A3"/>
    <w:rsid w:val="00361D79"/>
    <w:rsid w:val="003626F4"/>
    <w:rsid w:val="00363136"/>
    <w:rsid w:val="00363AE0"/>
    <w:rsid w:val="00363DE9"/>
    <w:rsid w:val="0036475E"/>
    <w:rsid w:val="00364B55"/>
    <w:rsid w:val="00364BF2"/>
    <w:rsid w:val="00365300"/>
    <w:rsid w:val="0036562E"/>
    <w:rsid w:val="00365A30"/>
    <w:rsid w:val="00365A4B"/>
    <w:rsid w:val="00365C25"/>
    <w:rsid w:val="0036630C"/>
    <w:rsid w:val="00367269"/>
    <w:rsid w:val="00370815"/>
    <w:rsid w:val="003713B4"/>
    <w:rsid w:val="00371701"/>
    <w:rsid w:val="00371874"/>
    <w:rsid w:val="00371875"/>
    <w:rsid w:val="00371D1C"/>
    <w:rsid w:val="00372100"/>
    <w:rsid w:val="003724E4"/>
    <w:rsid w:val="00372DD8"/>
    <w:rsid w:val="00373101"/>
    <w:rsid w:val="0037388F"/>
    <w:rsid w:val="003739D0"/>
    <w:rsid w:val="0037424C"/>
    <w:rsid w:val="003749C9"/>
    <w:rsid w:val="0037506C"/>
    <w:rsid w:val="00375E9F"/>
    <w:rsid w:val="00376063"/>
    <w:rsid w:val="00376D27"/>
    <w:rsid w:val="00376E29"/>
    <w:rsid w:val="00377C11"/>
    <w:rsid w:val="00377F5C"/>
    <w:rsid w:val="00380515"/>
    <w:rsid w:val="0038078F"/>
    <w:rsid w:val="00380C7A"/>
    <w:rsid w:val="0038161A"/>
    <w:rsid w:val="00381D4A"/>
    <w:rsid w:val="00382137"/>
    <w:rsid w:val="00382342"/>
    <w:rsid w:val="0038257E"/>
    <w:rsid w:val="0038291F"/>
    <w:rsid w:val="00383242"/>
    <w:rsid w:val="00383BC2"/>
    <w:rsid w:val="00383EF7"/>
    <w:rsid w:val="003842F9"/>
    <w:rsid w:val="00384616"/>
    <w:rsid w:val="0038561A"/>
    <w:rsid w:val="00385694"/>
    <w:rsid w:val="00385718"/>
    <w:rsid w:val="00385D59"/>
    <w:rsid w:val="003861E1"/>
    <w:rsid w:val="00386AF3"/>
    <w:rsid w:val="00387EA5"/>
    <w:rsid w:val="00390060"/>
    <w:rsid w:val="003903BC"/>
    <w:rsid w:val="00390E30"/>
    <w:rsid w:val="003916FD"/>
    <w:rsid w:val="003924B3"/>
    <w:rsid w:val="00392B15"/>
    <w:rsid w:val="0039370D"/>
    <w:rsid w:val="00393E45"/>
    <w:rsid w:val="003943B1"/>
    <w:rsid w:val="00396C36"/>
    <w:rsid w:val="00396F26"/>
    <w:rsid w:val="003970D0"/>
    <w:rsid w:val="00397344"/>
    <w:rsid w:val="003973BC"/>
    <w:rsid w:val="0039753C"/>
    <w:rsid w:val="00397F0D"/>
    <w:rsid w:val="003A0CD3"/>
    <w:rsid w:val="003A21EE"/>
    <w:rsid w:val="003A274A"/>
    <w:rsid w:val="003A2C70"/>
    <w:rsid w:val="003A303C"/>
    <w:rsid w:val="003A36F1"/>
    <w:rsid w:val="003A5689"/>
    <w:rsid w:val="003A5B53"/>
    <w:rsid w:val="003A68C9"/>
    <w:rsid w:val="003A6C04"/>
    <w:rsid w:val="003A7B22"/>
    <w:rsid w:val="003B0FAD"/>
    <w:rsid w:val="003B1096"/>
    <w:rsid w:val="003B1605"/>
    <w:rsid w:val="003B181B"/>
    <w:rsid w:val="003B29E2"/>
    <w:rsid w:val="003B3E22"/>
    <w:rsid w:val="003B4437"/>
    <w:rsid w:val="003B47D2"/>
    <w:rsid w:val="003B48BE"/>
    <w:rsid w:val="003B546F"/>
    <w:rsid w:val="003B5751"/>
    <w:rsid w:val="003B6341"/>
    <w:rsid w:val="003B6C0B"/>
    <w:rsid w:val="003C0953"/>
    <w:rsid w:val="003C0AD9"/>
    <w:rsid w:val="003C0DD3"/>
    <w:rsid w:val="003C236C"/>
    <w:rsid w:val="003C23AF"/>
    <w:rsid w:val="003C24F3"/>
    <w:rsid w:val="003C262C"/>
    <w:rsid w:val="003C299B"/>
    <w:rsid w:val="003C2E5D"/>
    <w:rsid w:val="003C33D0"/>
    <w:rsid w:val="003C37F7"/>
    <w:rsid w:val="003C3B8A"/>
    <w:rsid w:val="003C41AC"/>
    <w:rsid w:val="003C56D6"/>
    <w:rsid w:val="003C5776"/>
    <w:rsid w:val="003C64A8"/>
    <w:rsid w:val="003C65E0"/>
    <w:rsid w:val="003C6603"/>
    <w:rsid w:val="003C678F"/>
    <w:rsid w:val="003C6919"/>
    <w:rsid w:val="003C6B02"/>
    <w:rsid w:val="003C6F71"/>
    <w:rsid w:val="003C6FDC"/>
    <w:rsid w:val="003C72CA"/>
    <w:rsid w:val="003C7C4D"/>
    <w:rsid w:val="003C7DC2"/>
    <w:rsid w:val="003D0271"/>
    <w:rsid w:val="003D1018"/>
    <w:rsid w:val="003D112E"/>
    <w:rsid w:val="003D166A"/>
    <w:rsid w:val="003D16A2"/>
    <w:rsid w:val="003D17CB"/>
    <w:rsid w:val="003D18C4"/>
    <w:rsid w:val="003D1C05"/>
    <w:rsid w:val="003D1C28"/>
    <w:rsid w:val="003D227E"/>
    <w:rsid w:val="003D258D"/>
    <w:rsid w:val="003D2923"/>
    <w:rsid w:val="003D4232"/>
    <w:rsid w:val="003D536F"/>
    <w:rsid w:val="003D56B4"/>
    <w:rsid w:val="003D5BAC"/>
    <w:rsid w:val="003D751F"/>
    <w:rsid w:val="003D7859"/>
    <w:rsid w:val="003D7DCD"/>
    <w:rsid w:val="003E01AE"/>
    <w:rsid w:val="003E0257"/>
    <w:rsid w:val="003E054B"/>
    <w:rsid w:val="003E0862"/>
    <w:rsid w:val="003E2490"/>
    <w:rsid w:val="003E2D30"/>
    <w:rsid w:val="003E2E46"/>
    <w:rsid w:val="003E3DBA"/>
    <w:rsid w:val="003E4712"/>
    <w:rsid w:val="003E4C6F"/>
    <w:rsid w:val="003E4CD9"/>
    <w:rsid w:val="003E4DAA"/>
    <w:rsid w:val="003E62D9"/>
    <w:rsid w:val="003E63C4"/>
    <w:rsid w:val="003E6535"/>
    <w:rsid w:val="003E6EC5"/>
    <w:rsid w:val="003E6F2A"/>
    <w:rsid w:val="003E7806"/>
    <w:rsid w:val="003F0A55"/>
    <w:rsid w:val="003F0E35"/>
    <w:rsid w:val="003F104D"/>
    <w:rsid w:val="003F33C1"/>
    <w:rsid w:val="003F379E"/>
    <w:rsid w:val="003F4114"/>
    <w:rsid w:val="003F411F"/>
    <w:rsid w:val="003F4E5D"/>
    <w:rsid w:val="003F55AD"/>
    <w:rsid w:val="003F5619"/>
    <w:rsid w:val="003F5904"/>
    <w:rsid w:val="003F5911"/>
    <w:rsid w:val="003F5B58"/>
    <w:rsid w:val="003F5F30"/>
    <w:rsid w:val="003F614A"/>
    <w:rsid w:val="003F6CA5"/>
    <w:rsid w:val="003F7009"/>
    <w:rsid w:val="003F7240"/>
    <w:rsid w:val="003F7C66"/>
    <w:rsid w:val="003F7C96"/>
    <w:rsid w:val="004000A2"/>
    <w:rsid w:val="0040035C"/>
    <w:rsid w:val="0040131B"/>
    <w:rsid w:val="004019FB"/>
    <w:rsid w:val="00401E4F"/>
    <w:rsid w:val="00401FD0"/>
    <w:rsid w:val="00403E12"/>
    <w:rsid w:val="0040503C"/>
    <w:rsid w:val="00406542"/>
    <w:rsid w:val="00406EDE"/>
    <w:rsid w:val="0040710E"/>
    <w:rsid w:val="0040756C"/>
    <w:rsid w:val="00407619"/>
    <w:rsid w:val="00407DB5"/>
    <w:rsid w:val="00410240"/>
    <w:rsid w:val="004106DB"/>
    <w:rsid w:val="00410AD1"/>
    <w:rsid w:val="00410B04"/>
    <w:rsid w:val="0041128A"/>
    <w:rsid w:val="0041146D"/>
    <w:rsid w:val="004118DD"/>
    <w:rsid w:val="00411D01"/>
    <w:rsid w:val="00411E88"/>
    <w:rsid w:val="0041249C"/>
    <w:rsid w:val="00412A27"/>
    <w:rsid w:val="00413419"/>
    <w:rsid w:val="004135B7"/>
    <w:rsid w:val="00414B5D"/>
    <w:rsid w:val="0041551F"/>
    <w:rsid w:val="00415624"/>
    <w:rsid w:val="00416942"/>
    <w:rsid w:val="004171A9"/>
    <w:rsid w:val="00417612"/>
    <w:rsid w:val="0042045F"/>
    <w:rsid w:val="004207D3"/>
    <w:rsid w:val="00421E3E"/>
    <w:rsid w:val="004220F1"/>
    <w:rsid w:val="0042264D"/>
    <w:rsid w:val="00422925"/>
    <w:rsid w:val="00422C4F"/>
    <w:rsid w:val="00424640"/>
    <w:rsid w:val="00424829"/>
    <w:rsid w:val="00424E56"/>
    <w:rsid w:val="00424F89"/>
    <w:rsid w:val="0042522D"/>
    <w:rsid w:val="00425764"/>
    <w:rsid w:val="0042579F"/>
    <w:rsid w:val="004274B0"/>
    <w:rsid w:val="00427885"/>
    <w:rsid w:val="00427A14"/>
    <w:rsid w:val="00430261"/>
    <w:rsid w:val="00430265"/>
    <w:rsid w:val="0043039C"/>
    <w:rsid w:val="0043050D"/>
    <w:rsid w:val="00430B4B"/>
    <w:rsid w:val="00430DA4"/>
    <w:rsid w:val="00431245"/>
    <w:rsid w:val="00431552"/>
    <w:rsid w:val="00431977"/>
    <w:rsid w:val="00431D59"/>
    <w:rsid w:val="00431EE8"/>
    <w:rsid w:val="00431F98"/>
    <w:rsid w:val="00432C5E"/>
    <w:rsid w:val="0043325A"/>
    <w:rsid w:val="00433A20"/>
    <w:rsid w:val="00433FEC"/>
    <w:rsid w:val="00434074"/>
    <w:rsid w:val="004344EE"/>
    <w:rsid w:val="0043500D"/>
    <w:rsid w:val="00435712"/>
    <w:rsid w:val="00435A60"/>
    <w:rsid w:val="00435F62"/>
    <w:rsid w:val="0043609A"/>
    <w:rsid w:val="0043678F"/>
    <w:rsid w:val="00436A9F"/>
    <w:rsid w:val="00437AD1"/>
    <w:rsid w:val="0044013B"/>
    <w:rsid w:val="0044026F"/>
    <w:rsid w:val="00440650"/>
    <w:rsid w:val="004408F1"/>
    <w:rsid w:val="004415FC"/>
    <w:rsid w:val="00442378"/>
    <w:rsid w:val="004437F5"/>
    <w:rsid w:val="00443A3B"/>
    <w:rsid w:val="004448C2"/>
    <w:rsid w:val="00445376"/>
    <w:rsid w:val="00446892"/>
    <w:rsid w:val="00450857"/>
    <w:rsid w:val="00450BCA"/>
    <w:rsid w:val="00451457"/>
    <w:rsid w:val="0045158D"/>
    <w:rsid w:val="00452AF9"/>
    <w:rsid w:val="00453163"/>
    <w:rsid w:val="00453547"/>
    <w:rsid w:val="004535DF"/>
    <w:rsid w:val="00453B57"/>
    <w:rsid w:val="00453CB1"/>
    <w:rsid w:val="00454909"/>
    <w:rsid w:val="00454C97"/>
    <w:rsid w:val="00455E65"/>
    <w:rsid w:val="00455F8D"/>
    <w:rsid w:val="00456886"/>
    <w:rsid w:val="00456916"/>
    <w:rsid w:val="00457A1A"/>
    <w:rsid w:val="00457B8D"/>
    <w:rsid w:val="00460D4F"/>
    <w:rsid w:val="00461720"/>
    <w:rsid w:val="00462578"/>
    <w:rsid w:val="0046298F"/>
    <w:rsid w:val="0046337A"/>
    <w:rsid w:val="00463507"/>
    <w:rsid w:val="004636BA"/>
    <w:rsid w:val="00464E0F"/>
    <w:rsid w:val="00465760"/>
    <w:rsid w:val="004657C2"/>
    <w:rsid w:val="0046626A"/>
    <w:rsid w:val="004674AF"/>
    <w:rsid w:val="00467D01"/>
    <w:rsid w:val="00467D62"/>
    <w:rsid w:val="00467D64"/>
    <w:rsid w:val="0047008B"/>
    <w:rsid w:val="00470613"/>
    <w:rsid w:val="00470D31"/>
    <w:rsid w:val="004713D1"/>
    <w:rsid w:val="004715F5"/>
    <w:rsid w:val="00471866"/>
    <w:rsid w:val="00471C21"/>
    <w:rsid w:val="00471CF9"/>
    <w:rsid w:val="0047238B"/>
    <w:rsid w:val="004729F2"/>
    <w:rsid w:val="00472D68"/>
    <w:rsid w:val="00473001"/>
    <w:rsid w:val="00474681"/>
    <w:rsid w:val="00474D35"/>
    <w:rsid w:val="00474E80"/>
    <w:rsid w:val="0047592F"/>
    <w:rsid w:val="00475F02"/>
    <w:rsid w:val="004767A5"/>
    <w:rsid w:val="00476E91"/>
    <w:rsid w:val="00477074"/>
    <w:rsid w:val="00481346"/>
    <w:rsid w:val="0048181C"/>
    <w:rsid w:val="00481878"/>
    <w:rsid w:val="00481C30"/>
    <w:rsid w:val="00482148"/>
    <w:rsid w:val="00482431"/>
    <w:rsid w:val="00482715"/>
    <w:rsid w:val="00482A9D"/>
    <w:rsid w:val="00482C71"/>
    <w:rsid w:val="004833F8"/>
    <w:rsid w:val="00483553"/>
    <w:rsid w:val="004835D8"/>
    <w:rsid w:val="00483F4D"/>
    <w:rsid w:val="0048511B"/>
    <w:rsid w:val="00485A0E"/>
    <w:rsid w:val="00485E75"/>
    <w:rsid w:val="00486425"/>
    <w:rsid w:val="00486534"/>
    <w:rsid w:val="0048670A"/>
    <w:rsid w:val="00487830"/>
    <w:rsid w:val="00487918"/>
    <w:rsid w:val="00487B70"/>
    <w:rsid w:val="00492EC1"/>
    <w:rsid w:val="00492FB8"/>
    <w:rsid w:val="00493898"/>
    <w:rsid w:val="00494D44"/>
    <w:rsid w:val="00495564"/>
    <w:rsid w:val="00495A4C"/>
    <w:rsid w:val="00496D9B"/>
    <w:rsid w:val="004972BE"/>
    <w:rsid w:val="004979B8"/>
    <w:rsid w:val="00497A44"/>
    <w:rsid w:val="004A0466"/>
    <w:rsid w:val="004A0B63"/>
    <w:rsid w:val="004A1422"/>
    <w:rsid w:val="004A2287"/>
    <w:rsid w:val="004A35F3"/>
    <w:rsid w:val="004A37EB"/>
    <w:rsid w:val="004A443F"/>
    <w:rsid w:val="004A5BF4"/>
    <w:rsid w:val="004A6F6C"/>
    <w:rsid w:val="004A798D"/>
    <w:rsid w:val="004A7B6C"/>
    <w:rsid w:val="004A7DF8"/>
    <w:rsid w:val="004B01B0"/>
    <w:rsid w:val="004B031B"/>
    <w:rsid w:val="004B1088"/>
    <w:rsid w:val="004B1A09"/>
    <w:rsid w:val="004B2057"/>
    <w:rsid w:val="004B2791"/>
    <w:rsid w:val="004B2B52"/>
    <w:rsid w:val="004B2BC8"/>
    <w:rsid w:val="004B2F5A"/>
    <w:rsid w:val="004B31EC"/>
    <w:rsid w:val="004B32E1"/>
    <w:rsid w:val="004B45CD"/>
    <w:rsid w:val="004B4EDB"/>
    <w:rsid w:val="004B5090"/>
    <w:rsid w:val="004B5BE0"/>
    <w:rsid w:val="004B6A70"/>
    <w:rsid w:val="004B6AC3"/>
    <w:rsid w:val="004B7B09"/>
    <w:rsid w:val="004B7E7B"/>
    <w:rsid w:val="004C0975"/>
    <w:rsid w:val="004C0FAA"/>
    <w:rsid w:val="004C14EE"/>
    <w:rsid w:val="004C2862"/>
    <w:rsid w:val="004C2CDC"/>
    <w:rsid w:val="004C2FF3"/>
    <w:rsid w:val="004C30E1"/>
    <w:rsid w:val="004C3829"/>
    <w:rsid w:val="004C3AFA"/>
    <w:rsid w:val="004C4121"/>
    <w:rsid w:val="004C445D"/>
    <w:rsid w:val="004C49AE"/>
    <w:rsid w:val="004C5564"/>
    <w:rsid w:val="004D0D8B"/>
    <w:rsid w:val="004D19F0"/>
    <w:rsid w:val="004D1B14"/>
    <w:rsid w:val="004D2A84"/>
    <w:rsid w:val="004D2AFC"/>
    <w:rsid w:val="004D2B30"/>
    <w:rsid w:val="004D3A05"/>
    <w:rsid w:val="004D3C38"/>
    <w:rsid w:val="004D4053"/>
    <w:rsid w:val="004D474B"/>
    <w:rsid w:val="004D510F"/>
    <w:rsid w:val="004D6B32"/>
    <w:rsid w:val="004D6E7D"/>
    <w:rsid w:val="004D723D"/>
    <w:rsid w:val="004D7CF2"/>
    <w:rsid w:val="004E075B"/>
    <w:rsid w:val="004E0A38"/>
    <w:rsid w:val="004E1F4A"/>
    <w:rsid w:val="004E2165"/>
    <w:rsid w:val="004E2171"/>
    <w:rsid w:val="004E23AD"/>
    <w:rsid w:val="004E262E"/>
    <w:rsid w:val="004E2A49"/>
    <w:rsid w:val="004E2D9F"/>
    <w:rsid w:val="004E32FE"/>
    <w:rsid w:val="004E3D24"/>
    <w:rsid w:val="004E4B57"/>
    <w:rsid w:val="004E4C5F"/>
    <w:rsid w:val="004E4E5C"/>
    <w:rsid w:val="004E57AB"/>
    <w:rsid w:val="004E5F10"/>
    <w:rsid w:val="004E6E97"/>
    <w:rsid w:val="004E71FD"/>
    <w:rsid w:val="004E7457"/>
    <w:rsid w:val="004E7D66"/>
    <w:rsid w:val="004E7EE5"/>
    <w:rsid w:val="004F046F"/>
    <w:rsid w:val="004F06EB"/>
    <w:rsid w:val="004F0E7E"/>
    <w:rsid w:val="004F1790"/>
    <w:rsid w:val="004F26F7"/>
    <w:rsid w:val="004F2C32"/>
    <w:rsid w:val="004F2F25"/>
    <w:rsid w:val="004F30D6"/>
    <w:rsid w:val="004F3953"/>
    <w:rsid w:val="004F411A"/>
    <w:rsid w:val="004F47E9"/>
    <w:rsid w:val="004F4C0C"/>
    <w:rsid w:val="004F4EBA"/>
    <w:rsid w:val="004F5396"/>
    <w:rsid w:val="004F539D"/>
    <w:rsid w:val="004F5423"/>
    <w:rsid w:val="004F547E"/>
    <w:rsid w:val="004F59EA"/>
    <w:rsid w:val="004F6454"/>
    <w:rsid w:val="004F781F"/>
    <w:rsid w:val="004F7AE1"/>
    <w:rsid w:val="00500175"/>
    <w:rsid w:val="00500458"/>
    <w:rsid w:val="00500C47"/>
    <w:rsid w:val="00501173"/>
    <w:rsid w:val="005017CD"/>
    <w:rsid w:val="0050197A"/>
    <w:rsid w:val="00502AE8"/>
    <w:rsid w:val="00502CE9"/>
    <w:rsid w:val="0050308D"/>
    <w:rsid w:val="0050356A"/>
    <w:rsid w:val="005039B7"/>
    <w:rsid w:val="00503DA4"/>
    <w:rsid w:val="00504101"/>
    <w:rsid w:val="005057A4"/>
    <w:rsid w:val="00506886"/>
    <w:rsid w:val="00506E10"/>
    <w:rsid w:val="00510364"/>
    <w:rsid w:val="005105FF"/>
    <w:rsid w:val="00510D0A"/>
    <w:rsid w:val="00510E14"/>
    <w:rsid w:val="00511E38"/>
    <w:rsid w:val="00512362"/>
    <w:rsid w:val="00512F8F"/>
    <w:rsid w:val="00513175"/>
    <w:rsid w:val="0051325C"/>
    <w:rsid w:val="00513951"/>
    <w:rsid w:val="00514006"/>
    <w:rsid w:val="00514049"/>
    <w:rsid w:val="005148A7"/>
    <w:rsid w:val="00514C96"/>
    <w:rsid w:val="00516625"/>
    <w:rsid w:val="0052003D"/>
    <w:rsid w:val="00520F2D"/>
    <w:rsid w:val="005215E0"/>
    <w:rsid w:val="005216F5"/>
    <w:rsid w:val="00521A09"/>
    <w:rsid w:val="005225E6"/>
    <w:rsid w:val="00522DE1"/>
    <w:rsid w:val="00522EEF"/>
    <w:rsid w:val="0052357B"/>
    <w:rsid w:val="00524241"/>
    <w:rsid w:val="0052525F"/>
    <w:rsid w:val="0052626E"/>
    <w:rsid w:val="00526288"/>
    <w:rsid w:val="005262DB"/>
    <w:rsid w:val="005264C7"/>
    <w:rsid w:val="00526D05"/>
    <w:rsid w:val="00530239"/>
    <w:rsid w:val="005302E9"/>
    <w:rsid w:val="005308BD"/>
    <w:rsid w:val="00530A9C"/>
    <w:rsid w:val="00530D83"/>
    <w:rsid w:val="00532250"/>
    <w:rsid w:val="005322B1"/>
    <w:rsid w:val="00532E45"/>
    <w:rsid w:val="00532F74"/>
    <w:rsid w:val="005332E8"/>
    <w:rsid w:val="005339A6"/>
    <w:rsid w:val="00533AD8"/>
    <w:rsid w:val="00533F44"/>
    <w:rsid w:val="00534BE6"/>
    <w:rsid w:val="00535874"/>
    <w:rsid w:val="005368AB"/>
    <w:rsid w:val="00536C83"/>
    <w:rsid w:val="00537002"/>
    <w:rsid w:val="005373C1"/>
    <w:rsid w:val="00537513"/>
    <w:rsid w:val="00540C64"/>
    <w:rsid w:val="00540C97"/>
    <w:rsid w:val="00540F97"/>
    <w:rsid w:val="00541579"/>
    <w:rsid w:val="00541C97"/>
    <w:rsid w:val="00542272"/>
    <w:rsid w:val="00542687"/>
    <w:rsid w:val="00543346"/>
    <w:rsid w:val="00543743"/>
    <w:rsid w:val="005439FD"/>
    <w:rsid w:val="00543EB8"/>
    <w:rsid w:val="0054403D"/>
    <w:rsid w:val="0054406C"/>
    <w:rsid w:val="005448F5"/>
    <w:rsid w:val="00545397"/>
    <w:rsid w:val="005453FB"/>
    <w:rsid w:val="00545768"/>
    <w:rsid w:val="00547082"/>
    <w:rsid w:val="00547238"/>
    <w:rsid w:val="00547A4B"/>
    <w:rsid w:val="00550182"/>
    <w:rsid w:val="005506C5"/>
    <w:rsid w:val="00551DB4"/>
    <w:rsid w:val="005521F8"/>
    <w:rsid w:val="005522D3"/>
    <w:rsid w:val="005524F8"/>
    <w:rsid w:val="005525AF"/>
    <w:rsid w:val="00553A21"/>
    <w:rsid w:val="00553BE8"/>
    <w:rsid w:val="00554A4E"/>
    <w:rsid w:val="00554C83"/>
    <w:rsid w:val="00555781"/>
    <w:rsid w:val="00555CF9"/>
    <w:rsid w:val="00556999"/>
    <w:rsid w:val="00556C70"/>
    <w:rsid w:val="00556D63"/>
    <w:rsid w:val="00557CDA"/>
    <w:rsid w:val="00557F47"/>
    <w:rsid w:val="00557FEB"/>
    <w:rsid w:val="00561307"/>
    <w:rsid w:val="00561D36"/>
    <w:rsid w:val="00562496"/>
    <w:rsid w:val="005625EB"/>
    <w:rsid w:val="00562EA0"/>
    <w:rsid w:val="00562F0D"/>
    <w:rsid w:val="005630E5"/>
    <w:rsid w:val="00564AAF"/>
    <w:rsid w:val="00565617"/>
    <w:rsid w:val="00566AC1"/>
    <w:rsid w:val="00566C29"/>
    <w:rsid w:val="0056720A"/>
    <w:rsid w:val="00567A50"/>
    <w:rsid w:val="00567F74"/>
    <w:rsid w:val="0057000A"/>
    <w:rsid w:val="00570DC5"/>
    <w:rsid w:val="00570F16"/>
    <w:rsid w:val="00571AD8"/>
    <w:rsid w:val="0057231A"/>
    <w:rsid w:val="00572A29"/>
    <w:rsid w:val="005733BA"/>
    <w:rsid w:val="005735E7"/>
    <w:rsid w:val="00573978"/>
    <w:rsid w:val="00573E81"/>
    <w:rsid w:val="005743D6"/>
    <w:rsid w:val="005747EC"/>
    <w:rsid w:val="00574BEF"/>
    <w:rsid w:val="00574D3A"/>
    <w:rsid w:val="00574DF6"/>
    <w:rsid w:val="0057504C"/>
    <w:rsid w:val="005751AB"/>
    <w:rsid w:val="00575B32"/>
    <w:rsid w:val="005761ED"/>
    <w:rsid w:val="005769E0"/>
    <w:rsid w:val="00577876"/>
    <w:rsid w:val="00577966"/>
    <w:rsid w:val="005804AE"/>
    <w:rsid w:val="0058145E"/>
    <w:rsid w:val="00581D25"/>
    <w:rsid w:val="00582F0D"/>
    <w:rsid w:val="00583529"/>
    <w:rsid w:val="0058396D"/>
    <w:rsid w:val="005857BA"/>
    <w:rsid w:val="005858EC"/>
    <w:rsid w:val="00586D9E"/>
    <w:rsid w:val="0058761D"/>
    <w:rsid w:val="005876D3"/>
    <w:rsid w:val="00587878"/>
    <w:rsid w:val="00587FBC"/>
    <w:rsid w:val="0059112A"/>
    <w:rsid w:val="00591D1C"/>
    <w:rsid w:val="00591DBC"/>
    <w:rsid w:val="00592801"/>
    <w:rsid w:val="00592B30"/>
    <w:rsid w:val="00592CB3"/>
    <w:rsid w:val="0059324A"/>
    <w:rsid w:val="00593553"/>
    <w:rsid w:val="00593824"/>
    <w:rsid w:val="005952DC"/>
    <w:rsid w:val="00595390"/>
    <w:rsid w:val="00595FB8"/>
    <w:rsid w:val="0059647C"/>
    <w:rsid w:val="005969B3"/>
    <w:rsid w:val="00597136"/>
    <w:rsid w:val="005A03EA"/>
    <w:rsid w:val="005A03F0"/>
    <w:rsid w:val="005A0919"/>
    <w:rsid w:val="005A1182"/>
    <w:rsid w:val="005A129A"/>
    <w:rsid w:val="005A45A6"/>
    <w:rsid w:val="005A5065"/>
    <w:rsid w:val="005A674F"/>
    <w:rsid w:val="005A686B"/>
    <w:rsid w:val="005A68BB"/>
    <w:rsid w:val="005A751C"/>
    <w:rsid w:val="005A7E71"/>
    <w:rsid w:val="005B015F"/>
    <w:rsid w:val="005B0359"/>
    <w:rsid w:val="005B07BD"/>
    <w:rsid w:val="005B0E6A"/>
    <w:rsid w:val="005B12DE"/>
    <w:rsid w:val="005B1382"/>
    <w:rsid w:val="005B1F4F"/>
    <w:rsid w:val="005B20FD"/>
    <w:rsid w:val="005B23E4"/>
    <w:rsid w:val="005B26D7"/>
    <w:rsid w:val="005B26FF"/>
    <w:rsid w:val="005B2BF7"/>
    <w:rsid w:val="005B3515"/>
    <w:rsid w:val="005B3E58"/>
    <w:rsid w:val="005B4194"/>
    <w:rsid w:val="005B53C3"/>
    <w:rsid w:val="005B5BB7"/>
    <w:rsid w:val="005B6097"/>
    <w:rsid w:val="005B62AB"/>
    <w:rsid w:val="005B6B34"/>
    <w:rsid w:val="005B702E"/>
    <w:rsid w:val="005B7172"/>
    <w:rsid w:val="005B7543"/>
    <w:rsid w:val="005B77AE"/>
    <w:rsid w:val="005B7C85"/>
    <w:rsid w:val="005C0962"/>
    <w:rsid w:val="005C178C"/>
    <w:rsid w:val="005C202B"/>
    <w:rsid w:val="005C271F"/>
    <w:rsid w:val="005C29DE"/>
    <w:rsid w:val="005C32EC"/>
    <w:rsid w:val="005C34F0"/>
    <w:rsid w:val="005C3697"/>
    <w:rsid w:val="005C3908"/>
    <w:rsid w:val="005C39C1"/>
    <w:rsid w:val="005C42C5"/>
    <w:rsid w:val="005C43C5"/>
    <w:rsid w:val="005C47B6"/>
    <w:rsid w:val="005C4EF8"/>
    <w:rsid w:val="005C4F0E"/>
    <w:rsid w:val="005C5428"/>
    <w:rsid w:val="005C580C"/>
    <w:rsid w:val="005C6016"/>
    <w:rsid w:val="005C6232"/>
    <w:rsid w:val="005C704F"/>
    <w:rsid w:val="005C79AA"/>
    <w:rsid w:val="005C7D94"/>
    <w:rsid w:val="005D054B"/>
    <w:rsid w:val="005D076B"/>
    <w:rsid w:val="005D17C6"/>
    <w:rsid w:val="005D1ACA"/>
    <w:rsid w:val="005D1C1A"/>
    <w:rsid w:val="005D1E87"/>
    <w:rsid w:val="005D274E"/>
    <w:rsid w:val="005D3619"/>
    <w:rsid w:val="005D415C"/>
    <w:rsid w:val="005D472F"/>
    <w:rsid w:val="005D493B"/>
    <w:rsid w:val="005D52CF"/>
    <w:rsid w:val="005D6039"/>
    <w:rsid w:val="005D6B4A"/>
    <w:rsid w:val="005D6F67"/>
    <w:rsid w:val="005D7167"/>
    <w:rsid w:val="005D7952"/>
    <w:rsid w:val="005D7A35"/>
    <w:rsid w:val="005E003B"/>
    <w:rsid w:val="005E055C"/>
    <w:rsid w:val="005E127D"/>
    <w:rsid w:val="005E1888"/>
    <w:rsid w:val="005E2743"/>
    <w:rsid w:val="005E38BE"/>
    <w:rsid w:val="005E3A32"/>
    <w:rsid w:val="005E3C48"/>
    <w:rsid w:val="005E3F66"/>
    <w:rsid w:val="005E47DE"/>
    <w:rsid w:val="005E5352"/>
    <w:rsid w:val="005E5436"/>
    <w:rsid w:val="005E54EA"/>
    <w:rsid w:val="005E5916"/>
    <w:rsid w:val="005E5C5A"/>
    <w:rsid w:val="005E6364"/>
    <w:rsid w:val="005E645E"/>
    <w:rsid w:val="005E6FE2"/>
    <w:rsid w:val="005E7137"/>
    <w:rsid w:val="005E7F42"/>
    <w:rsid w:val="005F025D"/>
    <w:rsid w:val="005F0D8F"/>
    <w:rsid w:val="005F1828"/>
    <w:rsid w:val="005F1E20"/>
    <w:rsid w:val="005F222C"/>
    <w:rsid w:val="005F25AF"/>
    <w:rsid w:val="005F2C21"/>
    <w:rsid w:val="005F2FBB"/>
    <w:rsid w:val="005F346F"/>
    <w:rsid w:val="005F35C5"/>
    <w:rsid w:val="005F3E63"/>
    <w:rsid w:val="005F5165"/>
    <w:rsid w:val="005F5776"/>
    <w:rsid w:val="005F58E6"/>
    <w:rsid w:val="005F5E4B"/>
    <w:rsid w:val="005F5FEC"/>
    <w:rsid w:val="005F65F3"/>
    <w:rsid w:val="005F6999"/>
    <w:rsid w:val="005F6D7C"/>
    <w:rsid w:val="005F7368"/>
    <w:rsid w:val="005F76AD"/>
    <w:rsid w:val="00600025"/>
    <w:rsid w:val="006007FA"/>
    <w:rsid w:val="00601076"/>
    <w:rsid w:val="006014CE"/>
    <w:rsid w:val="00601BC3"/>
    <w:rsid w:val="00601DCA"/>
    <w:rsid w:val="0060215D"/>
    <w:rsid w:val="00602A9D"/>
    <w:rsid w:val="00602FC9"/>
    <w:rsid w:val="00603394"/>
    <w:rsid w:val="00603AEE"/>
    <w:rsid w:val="00604A3A"/>
    <w:rsid w:val="00604E8C"/>
    <w:rsid w:val="006052F6"/>
    <w:rsid w:val="00605863"/>
    <w:rsid w:val="00605939"/>
    <w:rsid w:val="0060674D"/>
    <w:rsid w:val="00606EBA"/>
    <w:rsid w:val="0060711A"/>
    <w:rsid w:val="0060716D"/>
    <w:rsid w:val="00607972"/>
    <w:rsid w:val="00607D28"/>
    <w:rsid w:val="00607E8D"/>
    <w:rsid w:val="00610273"/>
    <w:rsid w:val="006108AD"/>
    <w:rsid w:val="00610FB9"/>
    <w:rsid w:val="00611C1F"/>
    <w:rsid w:val="006120B0"/>
    <w:rsid w:val="006121E6"/>
    <w:rsid w:val="006127C5"/>
    <w:rsid w:val="00612C1B"/>
    <w:rsid w:val="006130A3"/>
    <w:rsid w:val="0061339C"/>
    <w:rsid w:val="00613972"/>
    <w:rsid w:val="006143A7"/>
    <w:rsid w:val="00614444"/>
    <w:rsid w:val="006149B7"/>
    <w:rsid w:val="00615AB5"/>
    <w:rsid w:val="00615EC1"/>
    <w:rsid w:val="00616C06"/>
    <w:rsid w:val="006171E9"/>
    <w:rsid w:val="0061756D"/>
    <w:rsid w:val="00617F28"/>
    <w:rsid w:val="00620131"/>
    <w:rsid w:val="00620511"/>
    <w:rsid w:val="00620E6A"/>
    <w:rsid w:val="0062101A"/>
    <w:rsid w:val="006215C0"/>
    <w:rsid w:val="00621EF0"/>
    <w:rsid w:val="00621F99"/>
    <w:rsid w:val="0062292C"/>
    <w:rsid w:val="00622939"/>
    <w:rsid w:val="00622A42"/>
    <w:rsid w:val="00622AF4"/>
    <w:rsid w:val="00622CFD"/>
    <w:rsid w:val="00623218"/>
    <w:rsid w:val="006239CE"/>
    <w:rsid w:val="00623E02"/>
    <w:rsid w:val="00623F97"/>
    <w:rsid w:val="006246C2"/>
    <w:rsid w:val="006251B7"/>
    <w:rsid w:val="00625252"/>
    <w:rsid w:val="006254CC"/>
    <w:rsid w:val="006254FE"/>
    <w:rsid w:val="006255BC"/>
    <w:rsid w:val="00625991"/>
    <w:rsid w:val="006262BC"/>
    <w:rsid w:val="00626594"/>
    <w:rsid w:val="00627083"/>
    <w:rsid w:val="006279A5"/>
    <w:rsid w:val="00630226"/>
    <w:rsid w:val="006304D4"/>
    <w:rsid w:val="0063087F"/>
    <w:rsid w:val="006312DB"/>
    <w:rsid w:val="00631373"/>
    <w:rsid w:val="006319F0"/>
    <w:rsid w:val="00631EB8"/>
    <w:rsid w:val="00631EBA"/>
    <w:rsid w:val="0063207B"/>
    <w:rsid w:val="006329A3"/>
    <w:rsid w:val="006329FE"/>
    <w:rsid w:val="00632BA8"/>
    <w:rsid w:val="00632C9F"/>
    <w:rsid w:val="00632E64"/>
    <w:rsid w:val="00633358"/>
    <w:rsid w:val="00633806"/>
    <w:rsid w:val="00633ED1"/>
    <w:rsid w:val="006345B9"/>
    <w:rsid w:val="006346A6"/>
    <w:rsid w:val="00635669"/>
    <w:rsid w:val="0063580A"/>
    <w:rsid w:val="006365EF"/>
    <w:rsid w:val="00636A9B"/>
    <w:rsid w:val="00636AE1"/>
    <w:rsid w:val="00637986"/>
    <w:rsid w:val="00637998"/>
    <w:rsid w:val="0064052D"/>
    <w:rsid w:val="00641542"/>
    <w:rsid w:val="00642456"/>
    <w:rsid w:val="00642984"/>
    <w:rsid w:val="00642CEC"/>
    <w:rsid w:val="00642EA8"/>
    <w:rsid w:val="006431D7"/>
    <w:rsid w:val="00643C7B"/>
    <w:rsid w:val="0064449D"/>
    <w:rsid w:val="00644A0A"/>
    <w:rsid w:val="00645692"/>
    <w:rsid w:val="00645993"/>
    <w:rsid w:val="00645A19"/>
    <w:rsid w:val="0064678F"/>
    <w:rsid w:val="00646E33"/>
    <w:rsid w:val="00646F36"/>
    <w:rsid w:val="006470A1"/>
    <w:rsid w:val="0064767F"/>
    <w:rsid w:val="00647B9C"/>
    <w:rsid w:val="006501D5"/>
    <w:rsid w:val="00650B8A"/>
    <w:rsid w:val="00650F3F"/>
    <w:rsid w:val="00650F7A"/>
    <w:rsid w:val="00651023"/>
    <w:rsid w:val="0065108B"/>
    <w:rsid w:val="0065159C"/>
    <w:rsid w:val="00651877"/>
    <w:rsid w:val="00651B7C"/>
    <w:rsid w:val="006526CF"/>
    <w:rsid w:val="006528C3"/>
    <w:rsid w:val="0065298C"/>
    <w:rsid w:val="0065321E"/>
    <w:rsid w:val="0065337D"/>
    <w:rsid w:val="0065364B"/>
    <w:rsid w:val="006543D7"/>
    <w:rsid w:val="00654810"/>
    <w:rsid w:val="00654830"/>
    <w:rsid w:val="006558EB"/>
    <w:rsid w:val="00655B35"/>
    <w:rsid w:val="00655B9E"/>
    <w:rsid w:val="00655F0E"/>
    <w:rsid w:val="006562BB"/>
    <w:rsid w:val="00656603"/>
    <w:rsid w:val="006573B8"/>
    <w:rsid w:val="00657FD3"/>
    <w:rsid w:val="00660DBF"/>
    <w:rsid w:val="006617F1"/>
    <w:rsid w:val="00661C67"/>
    <w:rsid w:val="00662E1C"/>
    <w:rsid w:val="00662F45"/>
    <w:rsid w:val="006638A5"/>
    <w:rsid w:val="006640EC"/>
    <w:rsid w:val="00664324"/>
    <w:rsid w:val="00664D6C"/>
    <w:rsid w:val="006652CD"/>
    <w:rsid w:val="006653AB"/>
    <w:rsid w:val="006653CF"/>
    <w:rsid w:val="006677C4"/>
    <w:rsid w:val="00667A9A"/>
    <w:rsid w:val="00667D36"/>
    <w:rsid w:val="00667E40"/>
    <w:rsid w:val="00670060"/>
    <w:rsid w:val="00671053"/>
    <w:rsid w:val="00672A7B"/>
    <w:rsid w:val="00672C63"/>
    <w:rsid w:val="00673010"/>
    <w:rsid w:val="00673A4A"/>
    <w:rsid w:val="00673B34"/>
    <w:rsid w:val="00673F17"/>
    <w:rsid w:val="00674437"/>
    <w:rsid w:val="0067476B"/>
    <w:rsid w:val="00674A91"/>
    <w:rsid w:val="00674D62"/>
    <w:rsid w:val="00676757"/>
    <w:rsid w:val="00676797"/>
    <w:rsid w:val="0067694A"/>
    <w:rsid w:val="00677C04"/>
    <w:rsid w:val="006803E7"/>
    <w:rsid w:val="006808FE"/>
    <w:rsid w:val="006815F4"/>
    <w:rsid w:val="006815FE"/>
    <w:rsid w:val="00681E0F"/>
    <w:rsid w:val="00682CE4"/>
    <w:rsid w:val="006841D6"/>
    <w:rsid w:val="00684925"/>
    <w:rsid w:val="00684A39"/>
    <w:rsid w:val="0068502B"/>
    <w:rsid w:val="00685FEC"/>
    <w:rsid w:val="006877D4"/>
    <w:rsid w:val="00690041"/>
    <w:rsid w:val="006900F5"/>
    <w:rsid w:val="00690338"/>
    <w:rsid w:val="0069040F"/>
    <w:rsid w:val="00690D95"/>
    <w:rsid w:val="006912DD"/>
    <w:rsid w:val="00691332"/>
    <w:rsid w:val="006917BB"/>
    <w:rsid w:val="00692099"/>
    <w:rsid w:val="00692152"/>
    <w:rsid w:val="0069379A"/>
    <w:rsid w:val="00694884"/>
    <w:rsid w:val="006948DF"/>
    <w:rsid w:val="00695016"/>
    <w:rsid w:val="006955BB"/>
    <w:rsid w:val="006955FB"/>
    <w:rsid w:val="00696127"/>
    <w:rsid w:val="0069677B"/>
    <w:rsid w:val="00696A49"/>
    <w:rsid w:val="00696A65"/>
    <w:rsid w:val="006A0127"/>
    <w:rsid w:val="006A040F"/>
    <w:rsid w:val="006A0C98"/>
    <w:rsid w:val="006A0D43"/>
    <w:rsid w:val="006A131A"/>
    <w:rsid w:val="006A17A9"/>
    <w:rsid w:val="006A1F3E"/>
    <w:rsid w:val="006A1F67"/>
    <w:rsid w:val="006A210B"/>
    <w:rsid w:val="006A2459"/>
    <w:rsid w:val="006A249D"/>
    <w:rsid w:val="006A2843"/>
    <w:rsid w:val="006A288A"/>
    <w:rsid w:val="006A2DBD"/>
    <w:rsid w:val="006A2F32"/>
    <w:rsid w:val="006A2FFB"/>
    <w:rsid w:val="006A378A"/>
    <w:rsid w:val="006A3C65"/>
    <w:rsid w:val="006A3D94"/>
    <w:rsid w:val="006A3F25"/>
    <w:rsid w:val="006A4504"/>
    <w:rsid w:val="006A45AA"/>
    <w:rsid w:val="006A4A0C"/>
    <w:rsid w:val="006A5420"/>
    <w:rsid w:val="006A54CA"/>
    <w:rsid w:val="006A5C52"/>
    <w:rsid w:val="006A6EB9"/>
    <w:rsid w:val="006A7728"/>
    <w:rsid w:val="006B00AA"/>
    <w:rsid w:val="006B051C"/>
    <w:rsid w:val="006B12E8"/>
    <w:rsid w:val="006B18D2"/>
    <w:rsid w:val="006B192C"/>
    <w:rsid w:val="006B1A82"/>
    <w:rsid w:val="006B2952"/>
    <w:rsid w:val="006B516A"/>
    <w:rsid w:val="006B6213"/>
    <w:rsid w:val="006B6780"/>
    <w:rsid w:val="006B6882"/>
    <w:rsid w:val="006B6929"/>
    <w:rsid w:val="006B705A"/>
    <w:rsid w:val="006B7063"/>
    <w:rsid w:val="006B7AC2"/>
    <w:rsid w:val="006C00B2"/>
    <w:rsid w:val="006C035E"/>
    <w:rsid w:val="006C06ED"/>
    <w:rsid w:val="006C1601"/>
    <w:rsid w:val="006C1AFA"/>
    <w:rsid w:val="006C230C"/>
    <w:rsid w:val="006C2392"/>
    <w:rsid w:val="006C2956"/>
    <w:rsid w:val="006C390E"/>
    <w:rsid w:val="006C3A6A"/>
    <w:rsid w:val="006C4527"/>
    <w:rsid w:val="006C4656"/>
    <w:rsid w:val="006C4C9B"/>
    <w:rsid w:val="006C4F56"/>
    <w:rsid w:val="006C5A3B"/>
    <w:rsid w:val="006C5AAC"/>
    <w:rsid w:val="006C5B27"/>
    <w:rsid w:val="006C61E3"/>
    <w:rsid w:val="006C668E"/>
    <w:rsid w:val="006C6889"/>
    <w:rsid w:val="006C6C63"/>
    <w:rsid w:val="006C6DDC"/>
    <w:rsid w:val="006D1024"/>
    <w:rsid w:val="006D1DAE"/>
    <w:rsid w:val="006D1DFF"/>
    <w:rsid w:val="006D2C46"/>
    <w:rsid w:val="006D30D9"/>
    <w:rsid w:val="006D3369"/>
    <w:rsid w:val="006D4684"/>
    <w:rsid w:val="006D4A65"/>
    <w:rsid w:val="006D68C6"/>
    <w:rsid w:val="006D6923"/>
    <w:rsid w:val="006D6BFC"/>
    <w:rsid w:val="006D6F50"/>
    <w:rsid w:val="006D71C6"/>
    <w:rsid w:val="006D7301"/>
    <w:rsid w:val="006D7B22"/>
    <w:rsid w:val="006E009E"/>
    <w:rsid w:val="006E00E0"/>
    <w:rsid w:val="006E041E"/>
    <w:rsid w:val="006E04D3"/>
    <w:rsid w:val="006E07B7"/>
    <w:rsid w:val="006E082E"/>
    <w:rsid w:val="006E0E2A"/>
    <w:rsid w:val="006E1139"/>
    <w:rsid w:val="006E1463"/>
    <w:rsid w:val="006E3236"/>
    <w:rsid w:val="006E4680"/>
    <w:rsid w:val="006E6F7F"/>
    <w:rsid w:val="006E77B6"/>
    <w:rsid w:val="006E7B29"/>
    <w:rsid w:val="006F085A"/>
    <w:rsid w:val="006F0C0D"/>
    <w:rsid w:val="006F0E4B"/>
    <w:rsid w:val="006F0E90"/>
    <w:rsid w:val="006F1186"/>
    <w:rsid w:val="006F19EE"/>
    <w:rsid w:val="006F202D"/>
    <w:rsid w:val="006F2318"/>
    <w:rsid w:val="006F237B"/>
    <w:rsid w:val="006F28A5"/>
    <w:rsid w:val="006F2A89"/>
    <w:rsid w:val="006F2FE5"/>
    <w:rsid w:val="006F3248"/>
    <w:rsid w:val="006F409A"/>
    <w:rsid w:val="006F4CC3"/>
    <w:rsid w:val="006F4E79"/>
    <w:rsid w:val="006F528D"/>
    <w:rsid w:val="006F59E1"/>
    <w:rsid w:val="006F63FA"/>
    <w:rsid w:val="006F6C40"/>
    <w:rsid w:val="006F7233"/>
    <w:rsid w:val="006F74EF"/>
    <w:rsid w:val="006F7C78"/>
    <w:rsid w:val="0070004B"/>
    <w:rsid w:val="007002E1"/>
    <w:rsid w:val="00701586"/>
    <w:rsid w:val="0070194C"/>
    <w:rsid w:val="00701B62"/>
    <w:rsid w:val="00701C8A"/>
    <w:rsid w:val="00702196"/>
    <w:rsid w:val="0070246E"/>
    <w:rsid w:val="00703DFC"/>
    <w:rsid w:val="00704C78"/>
    <w:rsid w:val="007050A8"/>
    <w:rsid w:val="00705215"/>
    <w:rsid w:val="007055BA"/>
    <w:rsid w:val="007072B8"/>
    <w:rsid w:val="007075E1"/>
    <w:rsid w:val="007077DD"/>
    <w:rsid w:val="00707AC3"/>
    <w:rsid w:val="00707E02"/>
    <w:rsid w:val="00707F52"/>
    <w:rsid w:val="00710265"/>
    <w:rsid w:val="00711976"/>
    <w:rsid w:val="00714C2A"/>
    <w:rsid w:val="00714DA6"/>
    <w:rsid w:val="00715544"/>
    <w:rsid w:val="0071592A"/>
    <w:rsid w:val="00716179"/>
    <w:rsid w:val="00716901"/>
    <w:rsid w:val="007171A8"/>
    <w:rsid w:val="00720346"/>
    <w:rsid w:val="00720451"/>
    <w:rsid w:val="007208D0"/>
    <w:rsid w:val="00720E77"/>
    <w:rsid w:val="00721E50"/>
    <w:rsid w:val="00721E99"/>
    <w:rsid w:val="007220CB"/>
    <w:rsid w:val="0072314E"/>
    <w:rsid w:val="00723C56"/>
    <w:rsid w:val="00725758"/>
    <w:rsid w:val="007259FB"/>
    <w:rsid w:val="00726A52"/>
    <w:rsid w:val="00726CFA"/>
    <w:rsid w:val="00730362"/>
    <w:rsid w:val="00733620"/>
    <w:rsid w:val="0073443C"/>
    <w:rsid w:val="007348FC"/>
    <w:rsid w:val="00734CAE"/>
    <w:rsid w:val="00735100"/>
    <w:rsid w:val="00736BC0"/>
    <w:rsid w:val="0073781E"/>
    <w:rsid w:val="00737857"/>
    <w:rsid w:val="00737937"/>
    <w:rsid w:val="00741A2E"/>
    <w:rsid w:val="00742CD2"/>
    <w:rsid w:val="00742E1D"/>
    <w:rsid w:val="007443BE"/>
    <w:rsid w:val="00744B8A"/>
    <w:rsid w:val="007460CF"/>
    <w:rsid w:val="0074610D"/>
    <w:rsid w:val="0074693A"/>
    <w:rsid w:val="00746ADF"/>
    <w:rsid w:val="00747386"/>
    <w:rsid w:val="007506B7"/>
    <w:rsid w:val="007506D6"/>
    <w:rsid w:val="007514D8"/>
    <w:rsid w:val="0075219F"/>
    <w:rsid w:val="007526B0"/>
    <w:rsid w:val="007526EE"/>
    <w:rsid w:val="00752755"/>
    <w:rsid w:val="00752B84"/>
    <w:rsid w:val="00752DF5"/>
    <w:rsid w:val="00753992"/>
    <w:rsid w:val="00753A7A"/>
    <w:rsid w:val="00754B11"/>
    <w:rsid w:val="00754DFA"/>
    <w:rsid w:val="00755783"/>
    <w:rsid w:val="00755E79"/>
    <w:rsid w:val="00756C7C"/>
    <w:rsid w:val="007571F8"/>
    <w:rsid w:val="007575BA"/>
    <w:rsid w:val="00760200"/>
    <w:rsid w:val="007609FA"/>
    <w:rsid w:val="00760B11"/>
    <w:rsid w:val="00760F4C"/>
    <w:rsid w:val="00761D35"/>
    <w:rsid w:val="007631A6"/>
    <w:rsid w:val="00763814"/>
    <w:rsid w:val="00764C5E"/>
    <w:rsid w:val="00764FC5"/>
    <w:rsid w:val="007650E5"/>
    <w:rsid w:val="007657CD"/>
    <w:rsid w:val="007665BD"/>
    <w:rsid w:val="00766B1F"/>
    <w:rsid w:val="00766C1E"/>
    <w:rsid w:val="007670D8"/>
    <w:rsid w:val="0076719B"/>
    <w:rsid w:val="0076741F"/>
    <w:rsid w:val="007676F8"/>
    <w:rsid w:val="00767CBC"/>
    <w:rsid w:val="00767CFB"/>
    <w:rsid w:val="00767DA4"/>
    <w:rsid w:val="007706A3"/>
    <w:rsid w:val="00770B0C"/>
    <w:rsid w:val="0077169A"/>
    <w:rsid w:val="00771F80"/>
    <w:rsid w:val="0077291A"/>
    <w:rsid w:val="00772D01"/>
    <w:rsid w:val="00772DEB"/>
    <w:rsid w:val="00773539"/>
    <w:rsid w:val="007744FD"/>
    <w:rsid w:val="00774BAA"/>
    <w:rsid w:val="00775DAF"/>
    <w:rsid w:val="00775E78"/>
    <w:rsid w:val="007768C5"/>
    <w:rsid w:val="00776C20"/>
    <w:rsid w:val="007770AB"/>
    <w:rsid w:val="007771B1"/>
    <w:rsid w:val="007774CB"/>
    <w:rsid w:val="00777812"/>
    <w:rsid w:val="00777BD4"/>
    <w:rsid w:val="00777E69"/>
    <w:rsid w:val="00780DB3"/>
    <w:rsid w:val="00781578"/>
    <w:rsid w:val="00781D1E"/>
    <w:rsid w:val="00782315"/>
    <w:rsid w:val="007827D1"/>
    <w:rsid w:val="00782A28"/>
    <w:rsid w:val="00783607"/>
    <w:rsid w:val="007839E2"/>
    <w:rsid w:val="00784473"/>
    <w:rsid w:val="007844A9"/>
    <w:rsid w:val="007846F5"/>
    <w:rsid w:val="00784820"/>
    <w:rsid w:val="0078501F"/>
    <w:rsid w:val="0078520D"/>
    <w:rsid w:val="00785406"/>
    <w:rsid w:val="00785528"/>
    <w:rsid w:val="00785A9C"/>
    <w:rsid w:val="00785E67"/>
    <w:rsid w:val="007865A1"/>
    <w:rsid w:val="0078740F"/>
    <w:rsid w:val="00787CF9"/>
    <w:rsid w:val="0079040C"/>
    <w:rsid w:val="00792218"/>
    <w:rsid w:val="007925D2"/>
    <w:rsid w:val="0079347B"/>
    <w:rsid w:val="00794180"/>
    <w:rsid w:val="00794361"/>
    <w:rsid w:val="007949BE"/>
    <w:rsid w:val="00794AD3"/>
    <w:rsid w:val="00794FB4"/>
    <w:rsid w:val="007952BC"/>
    <w:rsid w:val="0079532C"/>
    <w:rsid w:val="00796543"/>
    <w:rsid w:val="007967A6"/>
    <w:rsid w:val="00796AC4"/>
    <w:rsid w:val="00796AD1"/>
    <w:rsid w:val="00796C25"/>
    <w:rsid w:val="00797DC5"/>
    <w:rsid w:val="007A1004"/>
    <w:rsid w:val="007A17CA"/>
    <w:rsid w:val="007A1DA1"/>
    <w:rsid w:val="007A1DEE"/>
    <w:rsid w:val="007A22AF"/>
    <w:rsid w:val="007A2648"/>
    <w:rsid w:val="007A2D72"/>
    <w:rsid w:val="007A31FB"/>
    <w:rsid w:val="007A43AF"/>
    <w:rsid w:val="007A477A"/>
    <w:rsid w:val="007A4949"/>
    <w:rsid w:val="007A4D26"/>
    <w:rsid w:val="007A505B"/>
    <w:rsid w:val="007A575E"/>
    <w:rsid w:val="007A57FA"/>
    <w:rsid w:val="007A66EA"/>
    <w:rsid w:val="007A6893"/>
    <w:rsid w:val="007A759C"/>
    <w:rsid w:val="007A779C"/>
    <w:rsid w:val="007A77F6"/>
    <w:rsid w:val="007A7898"/>
    <w:rsid w:val="007B14E7"/>
    <w:rsid w:val="007B174F"/>
    <w:rsid w:val="007B23AB"/>
    <w:rsid w:val="007B24BA"/>
    <w:rsid w:val="007B2751"/>
    <w:rsid w:val="007B28C5"/>
    <w:rsid w:val="007B2CE9"/>
    <w:rsid w:val="007B2EC5"/>
    <w:rsid w:val="007B3696"/>
    <w:rsid w:val="007B42DC"/>
    <w:rsid w:val="007B5082"/>
    <w:rsid w:val="007B50EF"/>
    <w:rsid w:val="007B67E8"/>
    <w:rsid w:val="007B6DEA"/>
    <w:rsid w:val="007B7325"/>
    <w:rsid w:val="007B7F0A"/>
    <w:rsid w:val="007C0FC4"/>
    <w:rsid w:val="007C10E1"/>
    <w:rsid w:val="007C1940"/>
    <w:rsid w:val="007C2A7C"/>
    <w:rsid w:val="007C3C4B"/>
    <w:rsid w:val="007C4570"/>
    <w:rsid w:val="007C518C"/>
    <w:rsid w:val="007C5A68"/>
    <w:rsid w:val="007C6108"/>
    <w:rsid w:val="007C6EFD"/>
    <w:rsid w:val="007D0D46"/>
    <w:rsid w:val="007D1162"/>
    <w:rsid w:val="007D1CD0"/>
    <w:rsid w:val="007D2D4A"/>
    <w:rsid w:val="007D2D6B"/>
    <w:rsid w:val="007D3198"/>
    <w:rsid w:val="007D34C8"/>
    <w:rsid w:val="007D437E"/>
    <w:rsid w:val="007D44EE"/>
    <w:rsid w:val="007D4616"/>
    <w:rsid w:val="007D6050"/>
    <w:rsid w:val="007D6AF5"/>
    <w:rsid w:val="007D78F0"/>
    <w:rsid w:val="007E0868"/>
    <w:rsid w:val="007E15A3"/>
    <w:rsid w:val="007E23F2"/>
    <w:rsid w:val="007E2517"/>
    <w:rsid w:val="007E2558"/>
    <w:rsid w:val="007E2DE4"/>
    <w:rsid w:val="007E3754"/>
    <w:rsid w:val="007E4A0C"/>
    <w:rsid w:val="007E4F21"/>
    <w:rsid w:val="007E4F84"/>
    <w:rsid w:val="007E5088"/>
    <w:rsid w:val="007E50ED"/>
    <w:rsid w:val="007E54F9"/>
    <w:rsid w:val="007E5CE2"/>
    <w:rsid w:val="007E6669"/>
    <w:rsid w:val="007E6783"/>
    <w:rsid w:val="007E708C"/>
    <w:rsid w:val="007E70CD"/>
    <w:rsid w:val="007E775A"/>
    <w:rsid w:val="007E7B55"/>
    <w:rsid w:val="007E7D05"/>
    <w:rsid w:val="007E7D1A"/>
    <w:rsid w:val="007F09C6"/>
    <w:rsid w:val="007F0BD6"/>
    <w:rsid w:val="007F0E7F"/>
    <w:rsid w:val="007F13AB"/>
    <w:rsid w:val="007F1435"/>
    <w:rsid w:val="007F15C0"/>
    <w:rsid w:val="007F15CF"/>
    <w:rsid w:val="007F1928"/>
    <w:rsid w:val="007F261D"/>
    <w:rsid w:val="007F2E1F"/>
    <w:rsid w:val="007F2EE9"/>
    <w:rsid w:val="007F2F1C"/>
    <w:rsid w:val="007F31E7"/>
    <w:rsid w:val="007F3210"/>
    <w:rsid w:val="007F35C7"/>
    <w:rsid w:val="007F3AD1"/>
    <w:rsid w:val="007F3CF3"/>
    <w:rsid w:val="007F450A"/>
    <w:rsid w:val="007F4833"/>
    <w:rsid w:val="007F55CB"/>
    <w:rsid w:val="007F6691"/>
    <w:rsid w:val="007F71D6"/>
    <w:rsid w:val="007F75BB"/>
    <w:rsid w:val="007F7CD5"/>
    <w:rsid w:val="008004BC"/>
    <w:rsid w:val="0080053E"/>
    <w:rsid w:val="008009FD"/>
    <w:rsid w:val="008019BC"/>
    <w:rsid w:val="008024DF"/>
    <w:rsid w:val="00802682"/>
    <w:rsid w:val="0080331D"/>
    <w:rsid w:val="008038BA"/>
    <w:rsid w:val="00803B2A"/>
    <w:rsid w:val="00803DD8"/>
    <w:rsid w:val="00803E77"/>
    <w:rsid w:val="008043D5"/>
    <w:rsid w:val="00804CCD"/>
    <w:rsid w:val="00804DA1"/>
    <w:rsid w:val="00804F66"/>
    <w:rsid w:val="0080563B"/>
    <w:rsid w:val="00805C70"/>
    <w:rsid w:val="00805CE2"/>
    <w:rsid w:val="00805CFE"/>
    <w:rsid w:val="00807768"/>
    <w:rsid w:val="0080786B"/>
    <w:rsid w:val="00810A9F"/>
    <w:rsid w:val="00811650"/>
    <w:rsid w:val="008118DB"/>
    <w:rsid w:val="0081224D"/>
    <w:rsid w:val="00812662"/>
    <w:rsid w:val="00813673"/>
    <w:rsid w:val="00813DF3"/>
    <w:rsid w:val="0081421E"/>
    <w:rsid w:val="00814360"/>
    <w:rsid w:val="00814712"/>
    <w:rsid w:val="00814E99"/>
    <w:rsid w:val="00815C72"/>
    <w:rsid w:val="00815E2E"/>
    <w:rsid w:val="00815EDB"/>
    <w:rsid w:val="008161FA"/>
    <w:rsid w:val="00816253"/>
    <w:rsid w:val="008162E8"/>
    <w:rsid w:val="008175FB"/>
    <w:rsid w:val="00817EBB"/>
    <w:rsid w:val="0082089F"/>
    <w:rsid w:val="00820C7C"/>
    <w:rsid w:val="00821728"/>
    <w:rsid w:val="00821BDB"/>
    <w:rsid w:val="00821F61"/>
    <w:rsid w:val="00822449"/>
    <w:rsid w:val="00822680"/>
    <w:rsid w:val="008238FF"/>
    <w:rsid w:val="00823986"/>
    <w:rsid w:val="00823A5E"/>
    <w:rsid w:val="00824358"/>
    <w:rsid w:val="008249B4"/>
    <w:rsid w:val="00824D9B"/>
    <w:rsid w:val="0082506C"/>
    <w:rsid w:val="008259E5"/>
    <w:rsid w:val="008262E7"/>
    <w:rsid w:val="0082709E"/>
    <w:rsid w:val="0082756E"/>
    <w:rsid w:val="008279DC"/>
    <w:rsid w:val="00827AE0"/>
    <w:rsid w:val="00827FBC"/>
    <w:rsid w:val="008303AF"/>
    <w:rsid w:val="00830A89"/>
    <w:rsid w:val="0083174F"/>
    <w:rsid w:val="0083194F"/>
    <w:rsid w:val="00832660"/>
    <w:rsid w:val="00832811"/>
    <w:rsid w:val="00832DB5"/>
    <w:rsid w:val="00832E50"/>
    <w:rsid w:val="008330C6"/>
    <w:rsid w:val="0083322B"/>
    <w:rsid w:val="00833547"/>
    <w:rsid w:val="0083383B"/>
    <w:rsid w:val="00833BC4"/>
    <w:rsid w:val="008340DB"/>
    <w:rsid w:val="00834322"/>
    <w:rsid w:val="0083466F"/>
    <w:rsid w:val="008349BF"/>
    <w:rsid w:val="00834C26"/>
    <w:rsid w:val="00835099"/>
    <w:rsid w:val="008375CA"/>
    <w:rsid w:val="00840251"/>
    <w:rsid w:val="00840357"/>
    <w:rsid w:val="008408AD"/>
    <w:rsid w:val="008420AD"/>
    <w:rsid w:val="00842199"/>
    <w:rsid w:val="00842C86"/>
    <w:rsid w:val="00842D11"/>
    <w:rsid w:val="00842E30"/>
    <w:rsid w:val="008432A3"/>
    <w:rsid w:val="008444F9"/>
    <w:rsid w:val="00844600"/>
    <w:rsid w:val="00844679"/>
    <w:rsid w:val="00845CBC"/>
    <w:rsid w:val="00846311"/>
    <w:rsid w:val="00846A39"/>
    <w:rsid w:val="00847C9E"/>
    <w:rsid w:val="00847CED"/>
    <w:rsid w:val="00850131"/>
    <w:rsid w:val="0085133F"/>
    <w:rsid w:val="00851AF3"/>
    <w:rsid w:val="00851D17"/>
    <w:rsid w:val="00852673"/>
    <w:rsid w:val="00852BEB"/>
    <w:rsid w:val="008530A7"/>
    <w:rsid w:val="0085326C"/>
    <w:rsid w:val="00854810"/>
    <w:rsid w:val="00854A32"/>
    <w:rsid w:val="00854B34"/>
    <w:rsid w:val="008557B1"/>
    <w:rsid w:val="00855CBB"/>
    <w:rsid w:val="008561BB"/>
    <w:rsid w:val="008565F2"/>
    <w:rsid w:val="00856A72"/>
    <w:rsid w:val="00856D2C"/>
    <w:rsid w:val="00856D33"/>
    <w:rsid w:val="00856EC9"/>
    <w:rsid w:val="00856FCE"/>
    <w:rsid w:val="00860611"/>
    <w:rsid w:val="008614DF"/>
    <w:rsid w:val="008615D7"/>
    <w:rsid w:val="00861AE4"/>
    <w:rsid w:val="00861B05"/>
    <w:rsid w:val="00861B16"/>
    <w:rsid w:val="00862893"/>
    <w:rsid w:val="00862F04"/>
    <w:rsid w:val="008631EA"/>
    <w:rsid w:val="008641D4"/>
    <w:rsid w:val="0086448F"/>
    <w:rsid w:val="00864507"/>
    <w:rsid w:val="00864A18"/>
    <w:rsid w:val="00864BB3"/>
    <w:rsid w:val="00864BE5"/>
    <w:rsid w:val="008657C8"/>
    <w:rsid w:val="00865896"/>
    <w:rsid w:val="00865E0E"/>
    <w:rsid w:val="00866236"/>
    <w:rsid w:val="008677BF"/>
    <w:rsid w:val="00867AE9"/>
    <w:rsid w:val="00871035"/>
    <w:rsid w:val="00871102"/>
    <w:rsid w:val="0087231F"/>
    <w:rsid w:val="00872566"/>
    <w:rsid w:val="00872A02"/>
    <w:rsid w:val="008731CB"/>
    <w:rsid w:val="00874239"/>
    <w:rsid w:val="00874655"/>
    <w:rsid w:val="00874665"/>
    <w:rsid w:val="00874A7C"/>
    <w:rsid w:val="00875298"/>
    <w:rsid w:val="0087643A"/>
    <w:rsid w:val="00876BC0"/>
    <w:rsid w:val="00876E63"/>
    <w:rsid w:val="008773F4"/>
    <w:rsid w:val="00877DC6"/>
    <w:rsid w:val="0088093F"/>
    <w:rsid w:val="008810B8"/>
    <w:rsid w:val="008813C3"/>
    <w:rsid w:val="00881568"/>
    <w:rsid w:val="0088178A"/>
    <w:rsid w:val="00881C9A"/>
    <w:rsid w:val="00882003"/>
    <w:rsid w:val="00882252"/>
    <w:rsid w:val="0088252D"/>
    <w:rsid w:val="00882A0A"/>
    <w:rsid w:val="008839A7"/>
    <w:rsid w:val="008839B8"/>
    <w:rsid w:val="00884584"/>
    <w:rsid w:val="00884D8B"/>
    <w:rsid w:val="00885320"/>
    <w:rsid w:val="00885D7F"/>
    <w:rsid w:val="00885EB1"/>
    <w:rsid w:val="00885F1C"/>
    <w:rsid w:val="0088635C"/>
    <w:rsid w:val="0088719A"/>
    <w:rsid w:val="008876AE"/>
    <w:rsid w:val="0088783E"/>
    <w:rsid w:val="00887BB4"/>
    <w:rsid w:val="00890F0D"/>
    <w:rsid w:val="00891D65"/>
    <w:rsid w:val="008920C6"/>
    <w:rsid w:val="0089212B"/>
    <w:rsid w:val="008925AB"/>
    <w:rsid w:val="00892F1D"/>
    <w:rsid w:val="008936B6"/>
    <w:rsid w:val="00894AD6"/>
    <w:rsid w:val="00894B68"/>
    <w:rsid w:val="00894F0C"/>
    <w:rsid w:val="0089552B"/>
    <w:rsid w:val="008955EC"/>
    <w:rsid w:val="008957A0"/>
    <w:rsid w:val="00895D57"/>
    <w:rsid w:val="00896041"/>
    <w:rsid w:val="00896488"/>
    <w:rsid w:val="00896846"/>
    <w:rsid w:val="00896DE1"/>
    <w:rsid w:val="00897312"/>
    <w:rsid w:val="008976CC"/>
    <w:rsid w:val="008A0531"/>
    <w:rsid w:val="008A0B3C"/>
    <w:rsid w:val="008A0D3C"/>
    <w:rsid w:val="008A0DDF"/>
    <w:rsid w:val="008A0FA0"/>
    <w:rsid w:val="008A1473"/>
    <w:rsid w:val="008A1874"/>
    <w:rsid w:val="008A1ADA"/>
    <w:rsid w:val="008A1C75"/>
    <w:rsid w:val="008A2417"/>
    <w:rsid w:val="008A25E2"/>
    <w:rsid w:val="008A2C99"/>
    <w:rsid w:val="008A2CED"/>
    <w:rsid w:val="008A32CC"/>
    <w:rsid w:val="008A3406"/>
    <w:rsid w:val="008A36E3"/>
    <w:rsid w:val="008A4EC3"/>
    <w:rsid w:val="008A5343"/>
    <w:rsid w:val="008A64BD"/>
    <w:rsid w:val="008A6C5D"/>
    <w:rsid w:val="008A6F41"/>
    <w:rsid w:val="008A75ED"/>
    <w:rsid w:val="008B084D"/>
    <w:rsid w:val="008B0B46"/>
    <w:rsid w:val="008B0D10"/>
    <w:rsid w:val="008B1335"/>
    <w:rsid w:val="008B2B30"/>
    <w:rsid w:val="008B3DE8"/>
    <w:rsid w:val="008B42D5"/>
    <w:rsid w:val="008B58C3"/>
    <w:rsid w:val="008B5901"/>
    <w:rsid w:val="008B5D3D"/>
    <w:rsid w:val="008B6AD0"/>
    <w:rsid w:val="008B6CDA"/>
    <w:rsid w:val="008B7374"/>
    <w:rsid w:val="008B754F"/>
    <w:rsid w:val="008C051D"/>
    <w:rsid w:val="008C2451"/>
    <w:rsid w:val="008C2517"/>
    <w:rsid w:val="008C312C"/>
    <w:rsid w:val="008C3170"/>
    <w:rsid w:val="008C3BC3"/>
    <w:rsid w:val="008C3C45"/>
    <w:rsid w:val="008C3FC9"/>
    <w:rsid w:val="008C41F2"/>
    <w:rsid w:val="008C45CF"/>
    <w:rsid w:val="008C4C0E"/>
    <w:rsid w:val="008C4DE1"/>
    <w:rsid w:val="008C67A3"/>
    <w:rsid w:val="008C689F"/>
    <w:rsid w:val="008C6E69"/>
    <w:rsid w:val="008C7A6A"/>
    <w:rsid w:val="008D1648"/>
    <w:rsid w:val="008D1BD2"/>
    <w:rsid w:val="008D1C17"/>
    <w:rsid w:val="008D240F"/>
    <w:rsid w:val="008D28EA"/>
    <w:rsid w:val="008D302E"/>
    <w:rsid w:val="008D33A2"/>
    <w:rsid w:val="008D3507"/>
    <w:rsid w:val="008D3C86"/>
    <w:rsid w:val="008D4853"/>
    <w:rsid w:val="008D48BC"/>
    <w:rsid w:val="008D4AB3"/>
    <w:rsid w:val="008D58B2"/>
    <w:rsid w:val="008D5C6D"/>
    <w:rsid w:val="008D6DF1"/>
    <w:rsid w:val="008E0063"/>
    <w:rsid w:val="008E0144"/>
    <w:rsid w:val="008E01A6"/>
    <w:rsid w:val="008E0722"/>
    <w:rsid w:val="008E16DF"/>
    <w:rsid w:val="008E19F3"/>
    <w:rsid w:val="008E1CF5"/>
    <w:rsid w:val="008E20D4"/>
    <w:rsid w:val="008E29EA"/>
    <w:rsid w:val="008E2A8F"/>
    <w:rsid w:val="008E2E11"/>
    <w:rsid w:val="008E2EEC"/>
    <w:rsid w:val="008E3A35"/>
    <w:rsid w:val="008E43C0"/>
    <w:rsid w:val="008E4C03"/>
    <w:rsid w:val="008E5410"/>
    <w:rsid w:val="008E5689"/>
    <w:rsid w:val="008E6154"/>
    <w:rsid w:val="008E6E34"/>
    <w:rsid w:val="008F04B5"/>
    <w:rsid w:val="008F0587"/>
    <w:rsid w:val="008F083A"/>
    <w:rsid w:val="008F21ED"/>
    <w:rsid w:val="008F28B4"/>
    <w:rsid w:val="008F3357"/>
    <w:rsid w:val="008F374B"/>
    <w:rsid w:val="008F3ADE"/>
    <w:rsid w:val="008F4EBB"/>
    <w:rsid w:val="008F52D5"/>
    <w:rsid w:val="008F53DE"/>
    <w:rsid w:val="008F543A"/>
    <w:rsid w:val="008F5626"/>
    <w:rsid w:val="008F59BF"/>
    <w:rsid w:val="008F624F"/>
    <w:rsid w:val="008F754B"/>
    <w:rsid w:val="008F7606"/>
    <w:rsid w:val="008F7C56"/>
    <w:rsid w:val="00900B7B"/>
    <w:rsid w:val="00900B8B"/>
    <w:rsid w:val="009013C2"/>
    <w:rsid w:val="009024A7"/>
    <w:rsid w:val="00902590"/>
    <w:rsid w:val="00902BA9"/>
    <w:rsid w:val="009033BD"/>
    <w:rsid w:val="0090508A"/>
    <w:rsid w:val="00905858"/>
    <w:rsid w:val="00905F8E"/>
    <w:rsid w:val="00906448"/>
    <w:rsid w:val="009075B6"/>
    <w:rsid w:val="009075E2"/>
    <w:rsid w:val="009077CD"/>
    <w:rsid w:val="00907B06"/>
    <w:rsid w:val="00907C81"/>
    <w:rsid w:val="00910B2C"/>
    <w:rsid w:val="00911C8C"/>
    <w:rsid w:val="00912F9E"/>
    <w:rsid w:val="009134D8"/>
    <w:rsid w:val="00913883"/>
    <w:rsid w:val="00913F7B"/>
    <w:rsid w:val="00913FFB"/>
    <w:rsid w:val="009140D1"/>
    <w:rsid w:val="009141CA"/>
    <w:rsid w:val="00914DE0"/>
    <w:rsid w:val="00914F3D"/>
    <w:rsid w:val="00915241"/>
    <w:rsid w:val="009152DA"/>
    <w:rsid w:val="009152E6"/>
    <w:rsid w:val="009154FC"/>
    <w:rsid w:val="00916113"/>
    <w:rsid w:val="00916AB1"/>
    <w:rsid w:val="00916FC0"/>
    <w:rsid w:val="00917619"/>
    <w:rsid w:val="00920195"/>
    <w:rsid w:val="00920C83"/>
    <w:rsid w:val="00920D56"/>
    <w:rsid w:val="00920E33"/>
    <w:rsid w:val="00921348"/>
    <w:rsid w:val="009224AD"/>
    <w:rsid w:val="00922D5B"/>
    <w:rsid w:val="0092329E"/>
    <w:rsid w:val="0092338A"/>
    <w:rsid w:val="009239EF"/>
    <w:rsid w:val="0092407B"/>
    <w:rsid w:val="009241A6"/>
    <w:rsid w:val="00924ABB"/>
    <w:rsid w:val="00924F79"/>
    <w:rsid w:val="00926C64"/>
    <w:rsid w:val="00926F90"/>
    <w:rsid w:val="0092723B"/>
    <w:rsid w:val="009279A0"/>
    <w:rsid w:val="00930559"/>
    <w:rsid w:val="00930617"/>
    <w:rsid w:val="009309A4"/>
    <w:rsid w:val="00930A97"/>
    <w:rsid w:val="00930C17"/>
    <w:rsid w:val="00931B51"/>
    <w:rsid w:val="00932797"/>
    <w:rsid w:val="00932E2A"/>
    <w:rsid w:val="0093361A"/>
    <w:rsid w:val="00934DA8"/>
    <w:rsid w:val="00934DAD"/>
    <w:rsid w:val="009352F5"/>
    <w:rsid w:val="00936441"/>
    <w:rsid w:val="00936A99"/>
    <w:rsid w:val="009374EE"/>
    <w:rsid w:val="00937895"/>
    <w:rsid w:val="0093795E"/>
    <w:rsid w:val="00941D42"/>
    <w:rsid w:val="009425EC"/>
    <w:rsid w:val="009432FC"/>
    <w:rsid w:val="0094348E"/>
    <w:rsid w:val="00943612"/>
    <w:rsid w:val="0094385B"/>
    <w:rsid w:val="00943C7D"/>
    <w:rsid w:val="00943FE5"/>
    <w:rsid w:val="00944298"/>
    <w:rsid w:val="009443D8"/>
    <w:rsid w:val="0094491A"/>
    <w:rsid w:val="00944C2D"/>
    <w:rsid w:val="009455DF"/>
    <w:rsid w:val="00945CEC"/>
    <w:rsid w:val="00946606"/>
    <w:rsid w:val="009467CE"/>
    <w:rsid w:val="00947701"/>
    <w:rsid w:val="00947F0A"/>
    <w:rsid w:val="00950065"/>
    <w:rsid w:val="009511D5"/>
    <w:rsid w:val="0095139C"/>
    <w:rsid w:val="00952495"/>
    <w:rsid w:val="009524A5"/>
    <w:rsid w:val="009529FA"/>
    <w:rsid w:val="00952BB9"/>
    <w:rsid w:val="00952BFC"/>
    <w:rsid w:val="00954B82"/>
    <w:rsid w:val="00955208"/>
    <w:rsid w:val="00955635"/>
    <w:rsid w:val="009558E2"/>
    <w:rsid w:val="00956496"/>
    <w:rsid w:val="009567C0"/>
    <w:rsid w:val="00956E4B"/>
    <w:rsid w:val="0095795E"/>
    <w:rsid w:val="00957AF1"/>
    <w:rsid w:val="00957F00"/>
    <w:rsid w:val="00960D47"/>
    <w:rsid w:val="00961037"/>
    <w:rsid w:val="00961308"/>
    <w:rsid w:val="00961349"/>
    <w:rsid w:val="009617ED"/>
    <w:rsid w:val="00963362"/>
    <w:rsid w:val="00963424"/>
    <w:rsid w:val="0096385F"/>
    <w:rsid w:val="00963E7E"/>
    <w:rsid w:val="009644A6"/>
    <w:rsid w:val="00964A4D"/>
    <w:rsid w:val="0096518D"/>
    <w:rsid w:val="0096558C"/>
    <w:rsid w:val="00965C53"/>
    <w:rsid w:val="00966293"/>
    <w:rsid w:val="00966444"/>
    <w:rsid w:val="00966500"/>
    <w:rsid w:val="009669E4"/>
    <w:rsid w:val="00966B05"/>
    <w:rsid w:val="00966B38"/>
    <w:rsid w:val="0096790C"/>
    <w:rsid w:val="00970C58"/>
    <w:rsid w:val="009712FA"/>
    <w:rsid w:val="00971343"/>
    <w:rsid w:val="00971D66"/>
    <w:rsid w:val="00971F1B"/>
    <w:rsid w:val="0097206F"/>
    <w:rsid w:val="00972EB6"/>
    <w:rsid w:val="0097372C"/>
    <w:rsid w:val="00973AF3"/>
    <w:rsid w:val="00973FFD"/>
    <w:rsid w:val="0097449A"/>
    <w:rsid w:val="00974697"/>
    <w:rsid w:val="00974F77"/>
    <w:rsid w:val="00975003"/>
    <w:rsid w:val="00975E4A"/>
    <w:rsid w:val="009763C3"/>
    <w:rsid w:val="0097664D"/>
    <w:rsid w:val="00976E10"/>
    <w:rsid w:val="00980199"/>
    <w:rsid w:val="00981424"/>
    <w:rsid w:val="00982782"/>
    <w:rsid w:val="00982CE7"/>
    <w:rsid w:val="009841BB"/>
    <w:rsid w:val="00984351"/>
    <w:rsid w:val="00984B9B"/>
    <w:rsid w:val="00985D63"/>
    <w:rsid w:val="00986400"/>
    <w:rsid w:val="009900A2"/>
    <w:rsid w:val="009901CC"/>
    <w:rsid w:val="00991913"/>
    <w:rsid w:val="00991FD6"/>
    <w:rsid w:val="00992662"/>
    <w:rsid w:val="00993610"/>
    <w:rsid w:val="00993909"/>
    <w:rsid w:val="00994050"/>
    <w:rsid w:val="00994560"/>
    <w:rsid w:val="009947B7"/>
    <w:rsid w:val="00994B28"/>
    <w:rsid w:val="00995AD1"/>
    <w:rsid w:val="00995BA0"/>
    <w:rsid w:val="00996784"/>
    <w:rsid w:val="00996FC4"/>
    <w:rsid w:val="009979D1"/>
    <w:rsid w:val="009A0464"/>
    <w:rsid w:val="009A0531"/>
    <w:rsid w:val="009A0D60"/>
    <w:rsid w:val="009A0E0A"/>
    <w:rsid w:val="009A277E"/>
    <w:rsid w:val="009A2E70"/>
    <w:rsid w:val="009A39A6"/>
    <w:rsid w:val="009A3D42"/>
    <w:rsid w:val="009A4069"/>
    <w:rsid w:val="009A4657"/>
    <w:rsid w:val="009A501E"/>
    <w:rsid w:val="009A5108"/>
    <w:rsid w:val="009A5244"/>
    <w:rsid w:val="009A5397"/>
    <w:rsid w:val="009A58E1"/>
    <w:rsid w:val="009A64EA"/>
    <w:rsid w:val="009A6616"/>
    <w:rsid w:val="009A68FE"/>
    <w:rsid w:val="009A6A2A"/>
    <w:rsid w:val="009A7566"/>
    <w:rsid w:val="009A77A2"/>
    <w:rsid w:val="009A7B15"/>
    <w:rsid w:val="009B0683"/>
    <w:rsid w:val="009B0980"/>
    <w:rsid w:val="009B0D76"/>
    <w:rsid w:val="009B14BF"/>
    <w:rsid w:val="009B1E9E"/>
    <w:rsid w:val="009B2087"/>
    <w:rsid w:val="009B2223"/>
    <w:rsid w:val="009B39E0"/>
    <w:rsid w:val="009B499D"/>
    <w:rsid w:val="009B4EEA"/>
    <w:rsid w:val="009B607B"/>
    <w:rsid w:val="009B6105"/>
    <w:rsid w:val="009B640D"/>
    <w:rsid w:val="009B6D82"/>
    <w:rsid w:val="009B727F"/>
    <w:rsid w:val="009B729D"/>
    <w:rsid w:val="009B7E5D"/>
    <w:rsid w:val="009B7F81"/>
    <w:rsid w:val="009C04BC"/>
    <w:rsid w:val="009C0CE0"/>
    <w:rsid w:val="009C1CF2"/>
    <w:rsid w:val="009C1D86"/>
    <w:rsid w:val="009C2150"/>
    <w:rsid w:val="009C23EB"/>
    <w:rsid w:val="009C28A0"/>
    <w:rsid w:val="009C2B97"/>
    <w:rsid w:val="009C300E"/>
    <w:rsid w:val="009C318A"/>
    <w:rsid w:val="009C328E"/>
    <w:rsid w:val="009C331B"/>
    <w:rsid w:val="009C3F73"/>
    <w:rsid w:val="009C47E1"/>
    <w:rsid w:val="009C4ACE"/>
    <w:rsid w:val="009C65B4"/>
    <w:rsid w:val="009C6ED3"/>
    <w:rsid w:val="009C71E0"/>
    <w:rsid w:val="009C734C"/>
    <w:rsid w:val="009D0BB4"/>
    <w:rsid w:val="009D16AF"/>
    <w:rsid w:val="009D1FB3"/>
    <w:rsid w:val="009D2025"/>
    <w:rsid w:val="009D2377"/>
    <w:rsid w:val="009D41EE"/>
    <w:rsid w:val="009D41F2"/>
    <w:rsid w:val="009D5E29"/>
    <w:rsid w:val="009D6722"/>
    <w:rsid w:val="009D68CD"/>
    <w:rsid w:val="009D69BE"/>
    <w:rsid w:val="009D717F"/>
    <w:rsid w:val="009D72EA"/>
    <w:rsid w:val="009D73DE"/>
    <w:rsid w:val="009D7B71"/>
    <w:rsid w:val="009D7DBB"/>
    <w:rsid w:val="009D7E69"/>
    <w:rsid w:val="009E1D6F"/>
    <w:rsid w:val="009E1FE1"/>
    <w:rsid w:val="009E2D54"/>
    <w:rsid w:val="009E3F64"/>
    <w:rsid w:val="009E7259"/>
    <w:rsid w:val="009E77F1"/>
    <w:rsid w:val="009E7A72"/>
    <w:rsid w:val="009F1CCE"/>
    <w:rsid w:val="009F1E4B"/>
    <w:rsid w:val="009F21DB"/>
    <w:rsid w:val="009F27C7"/>
    <w:rsid w:val="009F3712"/>
    <w:rsid w:val="009F3A16"/>
    <w:rsid w:val="009F3A97"/>
    <w:rsid w:val="009F4904"/>
    <w:rsid w:val="009F49D5"/>
    <w:rsid w:val="009F5E95"/>
    <w:rsid w:val="009F6721"/>
    <w:rsid w:val="009F6820"/>
    <w:rsid w:val="009F7453"/>
    <w:rsid w:val="009F75B4"/>
    <w:rsid w:val="009F7B60"/>
    <w:rsid w:val="009F7E16"/>
    <w:rsid w:val="00A00025"/>
    <w:rsid w:val="00A001A8"/>
    <w:rsid w:val="00A0040D"/>
    <w:rsid w:val="00A00572"/>
    <w:rsid w:val="00A00A76"/>
    <w:rsid w:val="00A01D76"/>
    <w:rsid w:val="00A02353"/>
    <w:rsid w:val="00A02E09"/>
    <w:rsid w:val="00A034DB"/>
    <w:rsid w:val="00A03A72"/>
    <w:rsid w:val="00A03CB2"/>
    <w:rsid w:val="00A04A74"/>
    <w:rsid w:val="00A051CF"/>
    <w:rsid w:val="00A05FA6"/>
    <w:rsid w:val="00A0608C"/>
    <w:rsid w:val="00A0618F"/>
    <w:rsid w:val="00A06368"/>
    <w:rsid w:val="00A06ADD"/>
    <w:rsid w:val="00A07BCE"/>
    <w:rsid w:val="00A07D2B"/>
    <w:rsid w:val="00A108D2"/>
    <w:rsid w:val="00A10DF0"/>
    <w:rsid w:val="00A11E0A"/>
    <w:rsid w:val="00A12453"/>
    <w:rsid w:val="00A12878"/>
    <w:rsid w:val="00A12BE4"/>
    <w:rsid w:val="00A12BEC"/>
    <w:rsid w:val="00A12D64"/>
    <w:rsid w:val="00A136D0"/>
    <w:rsid w:val="00A14407"/>
    <w:rsid w:val="00A14658"/>
    <w:rsid w:val="00A16D34"/>
    <w:rsid w:val="00A17B6D"/>
    <w:rsid w:val="00A200D7"/>
    <w:rsid w:val="00A202D5"/>
    <w:rsid w:val="00A20ABA"/>
    <w:rsid w:val="00A20EE2"/>
    <w:rsid w:val="00A213A4"/>
    <w:rsid w:val="00A21798"/>
    <w:rsid w:val="00A21D07"/>
    <w:rsid w:val="00A2212D"/>
    <w:rsid w:val="00A22164"/>
    <w:rsid w:val="00A22451"/>
    <w:rsid w:val="00A226C3"/>
    <w:rsid w:val="00A226EB"/>
    <w:rsid w:val="00A23A1F"/>
    <w:rsid w:val="00A248E9"/>
    <w:rsid w:val="00A2538B"/>
    <w:rsid w:val="00A254A1"/>
    <w:rsid w:val="00A258FE"/>
    <w:rsid w:val="00A266AF"/>
    <w:rsid w:val="00A26C24"/>
    <w:rsid w:val="00A26DA4"/>
    <w:rsid w:val="00A26F88"/>
    <w:rsid w:val="00A270A7"/>
    <w:rsid w:val="00A27137"/>
    <w:rsid w:val="00A27545"/>
    <w:rsid w:val="00A27EA8"/>
    <w:rsid w:val="00A300DF"/>
    <w:rsid w:val="00A3018A"/>
    <w:rsid w:val="00A303D4"/>
    <w:rsid w:val="00A30F10"/>
    <w:rsid w:val="00A3230D"/>
    <w:rsid w:val="00A32440"/>
    <w:rsid w:val="00A344DA"/>
    <w:rsid w:val="00A34C4C"/>
    <w:rsid w:val="00A3512A"/>
    <w:rsid w:val="00A352C7"/>
    <w:rsid w:val="00A36EF5"/>
    <w:rsid w:val="00A405C4"/>
    <w:rsid w:val="00A4181A"/>
    <w:rsid w:val="00A41E13"/>
    <w:rsid w:val="00A44180"/>
    <w:rsid w:val="00A44AFF"/>
    <w:rsid w:val="00A4504F"/>
    <w:rsid w:val="00A457B7"/>
    <w:rsid w:val="00A463FE"/>
    <w:rsid w:val="00A46512"/>
    <w:rsid w:val="00A46B6E"/>
    <w:rsid w:val="00A46FDF"/>
    <w:rsid w:val="00A4708E"/>
    <w:rsid w:val="00A4716F"/>
    <w:rsid w:val="00A478B6"/>
    <w:rsid w:val="00A478E4"/>
    <w:rsid w:val="00A501DF"/>
    <w:rsid w:val="00A5043E"/>
    <w:rsid w:val="00A50A88"/>
    <w:rsid w:val="00A51B43"/>
    <w:rsid w:val="00A524D4"/>
    <w:rsid w:val="00A52A5A"/>
    <w:rsid w:val="00A52C59"/>
    <w:rsid w:val="00A53F43"/>
    <w:rsid w:val="00A54140"/>
    <w:rsid w:val="00A54470"/>
    <w:rsid w:val="00A545A7"/>
    <w:rsid w:val="00A5480D"/>
    <w:rsid w:val="00A551EA"/>
    <w:rsid w:val="00A5523A"/>
    <w:rsid w:val="00A5554E"/>
    <w:rsid w:val="00A55845"/>
    <w:rsid w:val="00A55AFE"/>
    <w:rsid w:val="00A562E1"/>
    <w:rsid w:val="00A563E6"/>
    <w:rsid w:val="00A574D6"/>
    <w:rsid w:val="00A60099"/>
    <w:rsid w:val="00A601FC"/>
    <w:rsid w:val="00A60883"/>
    <w:rsid w:val="00A609A0"/>
    <w:rsid w:val="00A623C0"/>
    <w:rsid w:val="00A62783"/>
    <w:rsid w:val="00A62BC0"/>
    <w:rsid w:val="00A62E23"/>
    <w:rsid w:val="00A62F90"/>
    <w:rsid w:val="00A6327C"/>
    <w:rsid w:val="00A6439A"/>
    <w:rsid w:val="00A64A00"/>
    <w:rsid w:val="00A64D2B"/>
    <w:rsid w:val="00A650FE"/>
    <w:rsid w:val="00A652EE"/>
    <w:rsid w:val="00A65CFD"/>
    <w:rsid w:val="00A671DE"/>
    <w:rsid w:val="00A67328"/>
    <w:rsid w:val="00A7011F"/>
    <w:rsid w:val="00A70565"/>
    <w:rsid w:val="00A710C0"/>
    <w:rsid w:val="00A72661"/>
    <w:rsid w:val="00A7313F"/>
    <w:rsid w:val="00A73877"/>
    <w:rsid w:val="00A74619"/>
    <w:rsid w:val="00A75B69"/>
    <w:rsid w:val="00A76910"/>
    <w:rsid w:val="00A76DBD"/>
    <w:rsid w:val="00A76EBE"/>
    <w:rsid w:val="00A7711D"/>
    <w:rsid w:val="00A775F9"/>
    <w:rsid w:val="00A80317"/>
    <w:rsid w:val="00A80428"/>
    <w:rsid w:val="00A807AA"/>
    <w:rsid w:val="00A80C2B"/>
    <w:rsid w:val="00A8126E"/>
    <w:rsid w:val="00A81579"/>
    <w:rsid w:val="00A82178"/>
    <w:rsid w:val="00A82916"/>
    <w:rsid w:val="00A82DAF"/>
    <w:rsid w:val="00A83E06"/>
    <w:rsid w:val="00A84210"/>
    <w:rsid w:val="00A84654"/>
    <w:rsid w:val="00A85A6D"/>
    <w:rsid w:val="00A865AB"/>
    <w:rsid w:val="00A865B6"/>
    <w:rsid w:val="00A86E95"/>
    <w:rsid w:val="00A86FC5"/>
    <w:rsid w:val="00A87949"/>
    <w:rsid w:val="00A87A77"/>
    <w:rsid w:val="00A87CE0"/>
    <w:rsid w:val="00A87F73"/>
    <w:rsid w:val="00A900F9"/>
    <w:rsid w:val="00A91281"/>
    <w:rsid w:val="00A917A1"/>
    <w:rsid w:val="00A94495"/>
    <w:rsid w:val="00A95D91"/>
    <w:rsid w:val="00A96563"/>
    <w:rsid w:val="00A96981"/>
    <w:rsid w:val="00A969A6"/>
    <w:rsid w:val="00A97B74"/>
    <w:rsid w:val="00AA0239"/>
    <w:rsid w:val="00AA0608"/>
    <w:rsid w:val="00AA144E"/>
    <w:rsid w:val="00AA1C0F"/>
    <w:rsid w:val="00AA1D55"/>
    <w:rsid w:val="00AA1E49"/>
    <w:rsid w:val="00AA2AFF"/>
    <w:rsid w:val="00AA31EC"/>
    <w:rsid w:val="00AA4693"/>
    <w:rsid w:val="00AA4BCA"/>
    <w:rsid w:val="00AA4CBC"/>
    <w:rsid w:val="00AA4EA4"/>
    <w:rsid w:val="00AA59E0"/>
    <w:rsid w:val="00AA66E9"/>
    <w:rsid w:val="00AA6AAD"/>
    <w:rsid w:val="00AA7318"/>
    <w:rsid w:val="00AB0070"/>
    <w:rsid w:val="00AB0233"/>
    <w:rsid w:val="00AB0293"/>
    <w:rsid w:val="00AB0FE2"/>
    <w:rsid w:val="00AB145E"/>
    <w:rsid w:val="00AB14BB"/>
    <w:rsid w:val="00AB2136"/>
    <w:rsid w:val="00AB2137"/>
    <w:rsid w:val="00AB304D"/>
    <w:rsid w:val="00AB32A2"/>
    <w:rsid w:val="00AB4614"/>
    <w:rsid w:val="00AB5560"/>
    <w:rsid w:val="00AB7081"/>
    <w:rsid w:val="00AB7433"/>
    <w:rsid w:val="00AB750D"/>
    <w:rsid w:val="00AB774C"/>
    <w:rsid w:val="00AC015F"/>
    <w:rsid w:val="00AC12B8"/>
    <w:rsid w:val="00AC1B07"/>
    <w:rsid w:val="00AC3340"/>
    <w:rsid w:val="00AC3A52"/>
    <w:rsid w:val="00AC3E09"/>
    <w:rsid w:val="00AC44C6"/>
    <w:rsid w:val="00AC45ED"/>
    <w:rsid w:val="00AC4A11"/>
    <w:rsid w:val="00AC4B30"/>
    <w:rsid w:val="00AC5CBE"/>
    <w:rsid w:val="00AC6061"/>
    <w:rsid w:val="00AC6C1B"/>
    <w:rsid w:val="00AC6CCF"/>
    <w:rsid w:val="00AC7063"/>
    <w:rsid w:val="00AC7262"/>
    <w:rsid w:val="00AC78E1"/>
    <w:rsid w:val="00AC7DB0"/>
    <w:rsid w:val="00AD00F2"/>
    <w:rsid w:val="00AD057F"/>
    <w:rsid w:val="00AD06A0"/>
    <w:rsid w:val="00AD0ECB"/>
    <w:rsid w:val="00AD157E"/>
    <w:rsid w:val="00AD15E1"/>
    <w:rsid w:val="00AD17C1"/>
    <w:rsid w:val="00AD2E1E"/>
    <w:rsid w:val="00AD3282"/>
    <w:rsid w:val="00AD3430"/>
    <w:rsid w:val="00AD3600"/>
    <w:rsid w:val="00AD4351"/>
    <w:rsid w:val="00AD4DDE"/>
    <w:rsid w:val="00AD5402"/>
    <w:rsid w:val="00AD5976"/>
    <w:rsid w:val="00AD59F0"/>
    <w:rsid w:val="00AD5D8B"/>
    <w:rsid w:val="00AD671F"/>
    <w:rsid w:val="00AD69ED"/>
    <w:rsid w:val="00AD71D2"/>
    <w:rsid w:val="00AD765F"/>
    <w:rsid w:val="00AD778A"/>
    <w:rsid w:val="00AD7971"/>
    <w:rsid w:val="00AD79BD"/>
    <w:rsid w:val="00AD7E0A"/>
    <w:rsid w:val="00AE0245"/>
    <w:rsid w:val="00AE1D23"/>
    <w:rsid w:val="00AE2D14"/>
    <w:rsid w:val="00AE3983"/>
    <w:rsid w:val="00AE4938"/>
    <w:rsid w:val="00AE5401"/>
    <w:rsid w:val="00AE5CD4"/>
    <w:rsid w:val="00AE5DE5"/>
    <w:rsid w:val="00AE7ED9"/>
    <w:rsid w:val="00AF0A47"/>
    <w:rsid w:val="00AF0C3C"/>
    <w:rsid w:val="00AF1464"/>
    <w:rsid w:val="00AF185F"/>
    <w:rsid w:val="00AF229E"/>
    <w:rsid w:val="00AF25E9"/>
    <w:rsid w:val="00AF2DA7"/>
    <w:rsid w:val="00AF3198"/>
    <w:rsid w:val="00AF3C4C"/>
    <w:rsid w:val="00AF4E88"/>
    <w:rsid w:val="00AF568A"/>
    <w:rsid w:val="00AF673A"/>
    <w:rsid w:val="00AF6D83"/>
    <w:rsid w:val="00AF7984"/>
    <w:rsid w:val="00B004FA"/>
    <w:rsid w:val="00B0068F"/>
    <w:rsid w:val="00B00700"/>
    <w:rsid w:val="00B01C05"/>
    <w:rsid w:val="00B021CB"/>
    <w:rsid w:val="00B03114"/>
    <w:rsid w:val="00B040E0"/>
    <w:rsid w:val="00B04C84"/>
    <w:rsid w:val="00B05115"/>
    <w:rsid w:val="00B052F0"/>
    <w:rsid w:val="00B054A1"/>
    <w:rsid w:val="00B05C2F"/>
    <w:rsid w:val="00B06816"/>
    <w:rsid w:val="00B06819"/>
    <w:rsid w:val="00B07094"/>
    <w:rsid w:val="00B072C2"/>
    <w:rsid w:val="00B077B2"/>
    <w:rsid w:val="00B07C58"/>
    <w:rsid w:val="00B1034F"/>
    <w:rsid w:val="00B1172F"/>
    <w:rsid w:val="00B11DE4"/>
    <w:rsid w:val="00B1245A"/>
    <w:rsid w:val="00B124BB"/>
    <w:rsid w:val="00B1365A"/>
    <w:rsid w:val="00B136E8"/>
    <w:rsid w:val="00B13978"/>
    <w:rsid w:val="00B13AFC"/>
    <w:rsid w:val="00B1407A"/>
    <w:rsid w:val="00B142AF"/>
    <w:rsid w:val="00B15429"/>
    <w:rsid w:val="00B166B4"/>
    <w:rsid w:val="00B168DC"/>
    <w:rsid w:val="00B16D90"/>
    <w:rsid w:val="00B17047"/>
    <w:rsid w:val="00B1734D"/>
    <w:rsid w:val="00B17911"/>
    <w:rsid w:val="00B17A81"/>
    <w:rsid w:val="00B17D06"/>
    <w:rsid w:val="00B17DD6"/>
    <w:rsid w:val="00B17F4A"/>
    <w:rsid w:val="00B20446"/>
    <w:rsid w:val="00B20706"/>
    <w:rsid w:val="00B20834"/>
    <w:rsid w:val="00B20CAF"/>
    <w:rsid w:val="00B21841"/>
    <w:rsid w:val="00B22123"/>
    <w:rsid w:val="00B228D4"/>
    <w:rsid w:val="00B23339"/>
    <w:rsid w:val="00B238DB"/>
    <w:rsid w:val="00B23B37"/>
    <w:rsid w:val="00B23FDF"/>
    <w:rsid w:val="00B25C27"/>
    <w:rsid w:val="00B262F8"/>
    <w:rsid w:val="00B26638"/>
    <w:rsid w:val="00B27291"/>
    <w:rsid w:val="00B279AC"/>
    <w:rsid w:val="00B27D8E"/>
    <w:rsid w:val="00B27DEC"/>
    <w:rsid w:val="00B30014"/>
    <w:rsid w:val="00B30436"/>
    <w:rsid w:val="00B307FD"/>
    <w:rsid w:val="00B30C9E"/>
    <w:rsid w:val="00B32153"/>
    <w:rsid w:val="00B3239F"/>
    <w:rsid w:val="00B3262D"/>
    <w:rsid w:val="00B32914"/>
    <w:rsid w:val="00B33AA0"/>
    <w:rsid w:val="00B33B8F"/>
    <w:rsid w:val="00B33F46"/>
    <w:rsid w:val="00B34696"/>
    <w:rsid w:val="00B34B17"/>
    <w:rsid w:val="00B3515A"/>
    <w:rsid w:val="00B35558"/>
    <w:rsid w:val="00B35E1F"/>
    <w:rsid w:val="00B36271"/>
    <w:rsid w:val="00B36755"/>
    <w:rsid w:val="00B36F91"/>
    <w:rsid w:val="00B36FAA"/>
    <w:rsid w:val="00B371BC"/>
    <w:rsid w:val="00B371E1"/>
    <w:rsid w:val="00B37731"/>
    <w:rsid w:val="00B37BA4"/>
    <w:rsid w:val="00B41A26"/>
    <w:rsid w:val="00B41F9B"/>
    <w:rsid w:val="00B420C2"/>
    <w:rsid w:val="00B42710"/>
    <w:rsid w:val="00B42EA7"/>
    <w:rsid w:val="00B43D90"/>
    <w:rsid w:val="00B443D5"/>
    <w:rsid w:val="00B44C0C"/>
    <w:rsid w:val="00B44CD8"/>
    <w:rsid w:val="00B44D86"/>
    <w:rsid w:val="00B45314"/>
    <w:rsid w:val="00B46348"/>
    <w:rsid w:val="00B46C13"/>
    <w:rsid w:val="00B4720A"/>
    <w:rsid w:val="00B50140"/>
    <w:rsid w:val="00B504A4"/>
    <w:rsid w:val="00B511E2"/>
    <w:rsid w:val="00B51302"/>
    <w:rsid w:val="00B51B7F"/>
    <w:rsid w:val="00B51D19"/>
    <w:rsid w:val="00B51F08"/>
    <w:rsid w:val="00B523F0"/>
    <w:rsid w:val="00B52875"/>
    <w:rsid w:val="00B52A1B"/>
    <w:rsid w:val="00B52DD7"/>
    <w:rsid w:val="00B54FDA"/>
    <w:rsid w:val="00B55140"/>
    <w:rsid w:val="00B558EE"/>
    <w:rsid w:val="00B56290"/>
    <w:rsid w:val="00B5644E"/>
    <w:rsid w:val="00B56CCA"/>
    <w:rsid w:val="00B56D44"/>
    <w:rsid w:val="00B57499"/>
    <w:rsid w:val="00B601C4"/>
    <w:rsid w:val="00B609E8"/>
    <w:rsid w:val="00B6118A"/>
    <w:rsid w:val="00B61AAA"/>
    <w:rsid w:val="00B61F68"/>
    <w:rsid w:val="00B623E5"/>
    <w:rsid w:val="00B62860"/>
    <w:rsid w:val="00B639F9"/>
    <w:rsid w:val="00B641B1"/>
    <w:rsid w:val="00B643A4"/>
    <w:rsid w:val="00B64839"/>
    <w:rsid w:val="00B64C5C"/>
    <w:rsid w:val="00B64CF4"/>
    <w:rsid w:val="00B660D3"/>
    <w:rsid w:val="00B66257"/>
    <w:rsid w:val="00B6666D"/>
    <w:rsid w:val="00B66D55"/>
    <w:rsid w:val="00B676F2"/>
    <w:rsid w:val="00B7069A"/>
    <w:rsid w:val="00B7083E"/>
    <w:rsid w:val="00B71F3C"/>
    <w:rsid w:val="00B728BB"/>
    <w:rsid w:val="00B72CA0"/>
    <w:rsid w:val="00B72DD3"/>
    <w:rsid w:val="00B73809"/>
    <w:rsid w:val="00B73D8F"/>
    <w:rsid w:val="00B74021"/>
    <w:rsid w:val="00B7403D"/>
    <w:rsid w:val="00B74274"/>
    <w:rsid w:val="00B74284"/>
    <w:rsid w:val="00B74304"/>
    <w:rsid w:val="00B74636"/>
    <w:rsid w:val="00B751FE"/>
    <w:rsid w:val="00B76575"/>
    <w:rsid w:val="00B76F6F"/>
    <w:rsid w:val="00B773A3"/>
    <w:rsid w:val="00B7756E"/>
    <w:rsid w:val="00B77A10"/>
    <w:rsid w:val="00B80401"/>
    <w:rsid w:val="00B8050C"/>
    <w:rsid w:val="00B807D7"/>
    <w:rsid w:val="00B80D05"/>
    <w:rsid w:val="00B8100E"/>
    <w:rsid w:val="00B814F0"/>
    <w:rsid w:val="00B81F44"/>
    <w:rsid w:val="00B81F95"/>
    <w:rsid w:val="00B82185"/>
    <w:rsid w:val="00B82845"/>
    <w:rsid w:val="00B832CF"/>
    <w:rsid w:val="00B843D7"/>
    <w:rsid w:val="00B84905"/>
    <w:rsid w:val="00B84B33"/>
    <w:rsid w:val="00B8505F"/>
    <w:rsid w:val="00B85672"/>
    <w:rsid w:val="00B858CE"/>
    <w:rsid w:val="00B85C87"/>
    <w:rsid w:val="00B860AD"/>
    <w:rsid w:val="00B86585"/>
    <w:rsid w:val="00B865C8"/>
    <w:rsid w:val="00B86F03"/>
    <w:rsid w:val="00B87864"/>
    <w:rsid w:val="00B905CF"/>
    <w:rsid w:val="00B910C4"/>
    <w:rsid w:val="00B917F9"/>
    <w:rsid w:val="00B91872"/>
    <w:rsid w:val="00B91D56"/>
    <w:rsid w:val="00B9267B"/>
    <w:rsid w:val="00B93671"/>
    <w:rsid w:val="00B93B1F"/>
    <w:rsid w:val="00B94168"/>
    <w:rsid w:val="00B94A7C"/>
    <w:rsid w:val="00B95469"/>
    <w:rsid w:val="00B95F4B"/>
    <w:rsid w:val="00B968CC"/>
    <w:rsid w:val="00B96ABC"/>
    <w:rsid w:val="00B971EB"/>
    <w:rsid w:val="00B97CCE"/>
    <w:rsid w:val="00BA0215"/>
    <w:rsid w:val="00BA02D6"/>
    <w:rsid w:val="00BA0808"/>
    <w:rsid w:val="00BA0C92"/>
    <w:rsid w:val="00BA13BC"/>
    <w:rsid w:val="00BA1A69"/>
    <w:rsid w:val="00BA2DD7"/>
    <w:rsid w:val="00BA2DD9"/>
    <w:rsid w:val="00BA332F"/>
    <w:rsid w:val="00BA3CD6"/>
    <w:rsid w:val="00BA4542"/>
    <w:rsid w:val="00BA466D"/>
    <w:rsid w:val="00BA4819"/>
    <w:rsid w:val="00BA5EDD"/>
    <w:rsid w:val="00BA5F9C"/>
    <w:rsid w:val="00BA6417"/>
    <w:rsid w:val="00BA64A2"/>
    <w:rsid w:val="00BA6E99"/>
    <w:rsid w:val="00BA757E"/>
    <w:rsid w:val="00BA78AC"/>
    <w:rsid w:val="00BA7A05"/>
    <w:rsid w:val="00BB1081"/>
    <w:rsid w:val="00BB11B7"/>
    <w:rsid w:val="00BB14EF"/>
    <w:rsid w:val="00BB170E"/>
    <w:rsid w:val="00BB1D5C"/>
    <w:rsid w:val="00BB2048"/>
    <w:rsid w:val="00BB2788"/>
    <w:rsid w:val="00BB2794"/>
    <w:rsid w:val="00BB3B09"/>
    <w:rsid w:val="00BB3D7B"/>
    <w:rsid w:val="00BB3EF8"/>
    <w:rsid w:val="00BB4C8D"/>
    <w:rsid w:val="00BB5807"/>
    <w:rsid w:val="00BB5A99"/>
    <w:rsid w:val="00BB5F90"/>
    <w:rsid w:val="00BB6893"/>
    <w:rsid w:val="00BB6E3B"/>
    <w:rsid w:val="00BB6FA2"/>
    <w:rsid w:val="00BB7596"/>
    <w:rsid w:val="00BC060A"/>
    <w:rsid w:val="00BC0CBE"/>
    <w:rsid w:val="00BC0D0D"/>
    <w:rsid w:val="00BC0D28"/>
    <w:rsid w:val="00BC0FFE"/>
    <w:rsid w:val="00BC1219"/>
    <w:rsid w:val="00BC126E"/>
    <w:rsid w:val="00BC42CD"/>
    <w:rsid w:val="00BC45F4"/>
    <w:rsid w:val="00BC4EFA"/>
    <w:rsid w:val="00BC5451"/>
    <w:rsid w:val="00BC58A1"/>
    <w:rsid w:val="00BC6352"/>
    <w:rsid w:val="00BC6406"/>
    <w:rsid w:val="00BC6A5B"/>
    <w:rsid w:val="00BC6C58"/>
    <w:rsid w:val="00BD048A"/>
    <w:rsid w:val="00BD0A2A"/>
    <w:rsid w:val="00BD1B73"/>
    <w:rsid w:val="00BD2EE1"/>
    <w:rsid w:val="00BD2F1A"/>
    <w:rsid w:val="00BD32D0"/>
    <w:rsid w:val="00BD3864"/>
    <w:rsid w:val="00BD4441"/>
    <w:rsid w:val="00BD4E6D"/>
    <w:rsid w:val="00BD56CD"/>
    <w:rsid w:val="00BD685F"/>
    <w:rsid w:val="00BD69BE"/>
    <w:rsid w:val="00BD7D66"/>
    <w:rsid w:val="00BE00EC"/>
    <w:rsid w:val="00BE01A3"/>
    <w:rsid w:val="00BE03F8"/>
    <w:rsid w:val="00BE090E"/>
    <w:rsid w:val="00BE0A1D"/>
    <w:rsid w:val="00BE10CA"/>
    <w:rsid w:val="00BE13EF"/>
    <w:rsid w:val="00BE25D8"/>
    <w:rsid w:val="00BE2E9F"/>
    <w:rsid w:val="00BE3161"/>
    <w:rsid w:val="00BE3A4E"/>
    <w:rsid w:val="00BE41E8"/>
    <w:rsid w:val="00BE4339"/>
    <w:rsid w:val="00BE4477"/>
    <w:rsid w:val="00BE4E27"/>
    <w:rsid w:val="00BE4E85"/>
    <w:rsid w:val="00BE66A7"/>
    <w:rsid w:val="00BE6E26"/>
    <w:rsid w:val="00BE6FA6"/>
    <w:rsid w:val="00BE7128"/>
    <w:rsid w:val="00BF0B90"/>
    <w:rsid w:val="00BF0F0F"/>
    <w:rsid w:val="00BF10BF"/>
    <w:rsid w:val="00BF1669"/>
    <w:rsid w:val="00BF1986"/>
    <w:rsid w:val="00BF212A"/>
    <w:rsid w:val="00BF249D"/>
    <w:rsid w:val="00BF2C92"/>
    <w:rsid w:val="00BF2E0C"/>
    <w:rsid w:val="00BF3FBF"/>
    <w:rsid w:val="00BF4024"/>
    <w:rsid w:val="00BF420D"/>
    <w:rsid w:val="00BF4E07"/>
    <w:rsid w:val="00BF505C"/>
    <w:rsid w:val="00BF5A6A"/>
    <w:rsid w:val="00BF64C6"/>
    <w:rsid w:val="00BF6DA6"/>
    <w:rsid w:val="00BF76E3"/>
    <w:rsid w:val="00BF7E6A"/>
    <w:rsid w:val="00C001F3"/>
    <w:rsid w:val="00C00C90"/>
    <w:rsid w:val="00C00CAE"/>
    <w:rsid w:val="00C02BCA"/>
    <w:rsid w:val="00C02D8D"/>
    <w:rsid w:val="00C03197"/>
    <w:rsid w:val="00C0358E"/>
    <w:rsid w:val="00C03DC0"/>
    <w:rsid w:val="00C03F6A"/>
    <w:rsid w:val="00C044FC"/>
    <w:rsid w:val="00C04BC2"/>
    <w:rsid w:val="00C05954"/>
    <w:rsid w:val="00C05CEC"/>
    <w:rsid w:val="00C063F8"/>
    <w:rsid w:val="00C06586"/>
    <w:rsid w:val="00C070AE"/>
    <w:rsid w:val="00C07EB4"/>
    <w:rsid w:val="00C07FD8"/>
    <w:rsid w:val="00C10071"/>
    <w:rsid w:val="00C10482"/>
    <w:rsid w:val="00C107EA"/>
    <w:rsid w:val="00C114F6"/>
    <w:rsid w:val="00C11A68"/>
    <w:rsid w:val="00C11CE6"/>
    <w:rsid w:val="00C11D8A"/>
    <w:rsid w:val="00C1237B"/>
    <w:rsid w:val="00C12DB7"/>
    <w:rsid w:val="00C132DC"/>
    <w:rsid w:val="00C13578"/>
    <w:rsid w:val="00C136B8"/>
    <w:rsid w:val="00C1576C"/>
    <w:rsid w:val="00C15810"/>
    <w:rsid w:val="00C158A6"/>
    <w:rsid w:val="00C15E48"/>
    <w:rsid w:val="00C15FA5"/>
    <w:rsid w:val="00C1623A"/>
    <w:rsid w:val="00C17810"/>
    <w:rsid w:val="00C17EF7"/>
    <w:rsid w:val="00C20493"/>
    <w:rsid w:val="00C20959"/>
    <w:rsid w:val="00C211D1"/>
    <w:rsid w:val="00C22374"/>
    <w:rsid w:val="00C2243D"/>
    <w:rsid w:val="00C22710"/>
    <w:rsid w:val="00C22775"/>
    <w:rsid w:val="00C2338E"/>
    <w:rsid w:val="00C23D1C"/>
    <w:rsid w:val="00C23DE1"/>
    <w:rsid w:val="00C2427D"/>
    <w:rsid w:val="00C24309"/>
    <w:rsid w:val="00C2470F"/>
    <w:rsid w:val="00C24C7B"/>
    <w:rsid w:val="00C25273"/>
    <w:rsid w:val="00C26506"/>
    <w:rsid w:val="00C2676E"/>
    <w:rsid w:val="00C269D6"/>
    <w:rsid w:val="00C26A18"/>
    <w:rsid w:val="00C26EA1"/>
    <w:rsid w:val="00C27077"/>
    <w:rsid w:val="00C30B68"/>
    <w:rsid w:val="00C30CA9"/>
    <w:rsid w:val="00C31548"/>
    <w:rsid w:val="00C31CBC"/>
    <w:rsid w:val="00C3261F"/>
    <w:rsid w:val="00C332A6"/>
    <w:rsid w:val="00C3397F"/>
    <w:rsid w:val="00C33D38"/>
    <w:rsid w:val="00C33E33"/>
    <w:rsid w:val="00C33EB2"/>
    <w:rsid w:val="00C33FE4"/>
    <w:rsid w:val="00C33FFF"/>
    <w:rsid w:val="00C341BE"/>
    <w:rsid w:val="00C342B4"/>
    <w:rsid w:val="00C34969"/>
    <w:rsid w:val="00C35268"/>
    <w:rsid w:val="00C35A8A"/>
    <w:rsid w:val="00C35CB3"/>
    <w:rsid w:val="00C35F1D"/>
    <w:rsid w:val="00C3641D"/>
    <w:rsid w:val="00C36600"/>
    <w:rsid w:val="00C368D8"/>
    <w:rsid w:val="00C370A8"/>
    <w:rsid w:val="00C375EC"/>
    <w:rsid w:val="00C379F9"/>
    <w:rsid w:val="00C37C80"/>
    <w:rsid w:val="00C40B48"/>
    <w:rsid w:val="00C4146C"/>
    <w:rsid w:val="00C41515"/>
    <w:rsid w:val="00C419E9"/>
    <w:rsid w:val="00C41B4D"/>
    <w:rsid w:val="00C41DF9"/>
    <w:rsid w:val="00C42066"/>
    <w:rsid w:val="00C42C55"/>
    <w:rsid w:val="00C42F9E"/>
    <w:rsid w:val="00C436DA"/>
    <w:rsid w:val="00C4393A"/>
    <w:rsid w:val="00C439A2"/>
    <w:rsid w:val="00C439A9"/>
    <w:rsid w:val="00C44189"/>
    <w:rsid w:val="00C44879"/>
    <w:rsid w:val="00C45236"/>
    <w:rsid w:val="00C456F1"/>
    <w:rsid w:val="00C45C46"/>
    <w:rsid w:val="00C46450"/>
    <w:rsid w:val="00C46988"/>
    <w:rsid w:val="00C477F7"/>
    <w:rsid w:val="00C50453"/>
    <w:rsid w:val="00C50659"/>
    <w:rsid w:val="00C513B3"/>
    <w:rsid w:val="00C51B11"/>
    <w:rsid w:val="00C520F1"/>
    <w:rsid w:val="00C523F8"/>
    <w:rsid w:val="00C54A69"/>
    <w:rsid w:val="00C555E9"/>
    <w:rsid w:val="00C55C17"/>
    <w:rsid w:val="00C55D98"/>
    <w:rsid w:val="00C55E54"/>
    <w:rsid w:val="00C56705"/>
    <w:rsid w:val="00C56D23"/>
    <w:rsid w:val="00C5795A"/>
    <w:rsid w:val="00C57968"/>
    <w:rsid w:val="00C57E5C"/>
    <w:rsid w:val="00C61CA3"/>
    <w:rsid w:val="00C620CC"/>
    <w:rsid w:val="00C626F3"/>
    <w:rsid w:val="00C62B7E"/>
    <w:rsid w:val="00C63136"/>
    <w:rsid w:val="00C631BE"/>
    <w:rsid w:val="00C6399F"/>
    <w:rsid w:val="00C64163"/>
    <w:rsid w:val="00C6483B"/>
    <w:rsid w:val="00C64C78"/>
    <w:rsid w:val="00C6598C"/>
    <w:rsid w:val="00C65ED2"/>
    <w:rsid w:val="00C664C0"/>
    <w:rsid w:val="00C66BAB"/>
    <w:rsid w:val="00C66DCC"/>
    <w:rsid w:val="00C66F0F"/>
    <w:rsid w:val="00C71EFA"/>
    <w:rsid w:val="00C725AE"/>
    <w:rsid w:val="00C73FE1"/>
    <w:rsid w:val="00C74470"/>
    <w:rsid w:val="00C7457C"/>
    <w:rsid w:val="00C74715"/>
    <w:rsid w:val="00C74D91"/>
    <w:rsid w:val="00C74DB6"/>
    <w:rsid w:val="00C7506D"/>
    <w:rsid w:val="00C75F7B"/>
    <w:rsid w:val="00C7613C"/>
    <w:rsid w:val="00C77269"/>
    <w:rsid w:val="00C775AC"/>
    <w:rsid w:val="00C77748"/>
    <w:rsid w:val="00C77AE6"/>
    <w:rsid w:val="00C80E89"/>
    <w:rsid w:val="00C81968"/>
    <w:rsid w:val="00C82588"/>
    <w:rsid w:val="00C8261F"/>
    <w:rsid w:val="00C826BB"/>
    <w:rsid w:val="00C837C2"/>
    <w:rsid w:val="00C8399C"/>
    <w:rsid w:val="00C84206"/>
    <w:rsid w:val="00C84797"/>
    <w:rsid w:val="00C84EF4"/>
    <w:rsid w:val="00C85906"/>
    <w:rsid w:val="00C8697C"/>
    <w:rsid w:val="00C86EBE"/>
    <w:rsid w:val="00C873BD"/>
    <w:rsid w:val="00C87E56"/>
    <w:rsid w:val="00C90C73"/>
    <w:rsid w:val="00C90CB8"/>
    <w:rsid w:val="00C90FE9"/>
    <w:rsid w:val="00C91051"/>
    <w:rsid w:val="00C9114C"/>
    <w:rsid w:val="00C91BAE"/>
    <w:rsid w:val="00C92309"/>
    <w:rsid w:val="00C92B5F"/>
    <w:rsid w:val="00C94A48"/>
    <w:rsid w:val="00C95E33"/>
    <w:rsid w:val="00C97A2F"/>
    <w:rsid w:val="00CA0F17"/>
    <w:rsid w:val="00CA15FF"/>
    <w:rsid w:val="00CA1FA7"/>
    <w:rsid w:val="00CA26AF"/>
    <w:rsid w:val="00CA282B"/>
    <w:rsid w:val="00CA299A"/>
    <w:rsid w:val="00CA2A3B"/>
    <w:rsid w:val="00CA2B10"/>
    <w:rsid w:val="00CA2CDB"/>
    <w:rsid w:val="00CA3045"/>
    <w:rsid w:val="00CA3077"/>
    <w:rsid w:val="00CA31AE"/>
    <w:rsid w:val="00CA3AE6"/>
    <w:rsid w:val="00CA3AF4"/>
    <w:rsid w:val="00CA4386"/>
    <w:rsid w:val="00CA4D0F"/>
    <w:rsid w:val="00CA4D6D"/>
    <w:rsid w:val="00CA53B0"/>
    <w:rsid w:val="00CA5572"/>
    <w:rsid w:val="00CA58A3"/>
    <w:rsid w:val="00CA5A34"/>
    <w:rsid w:val="00CA73AF"/>
    <w:rsid w:val="00CA7537"/>
    <w:rsid w:val="00CB0BCE"/>
    <w:rsid w:val="00CB0E19"/>
    <w:rsid w:val="00CB109B"/>
    <w:rsid w:val="00CB12A5"/>
    <w:rsid w:val="00CB16F7"/>
    <w:rsid w:val="00CB2033"/>
    <w:rsid w:val="00CB29EA"/>
    <w:rsid w:val="00CB2ABA"/>
    <w:rsid w:val="00CB2E1B"/>
    <w:rsid w:val="00CB3AA0"/>
    <w:rsid w:val="00CB42E0"/>
    <w:rsid w:val="00CB5D68"/>
    <w:rsid w:val="00CB5E8D"/>
    <w:rsid w:val="00CB610E"/>
    <w:rsid w:val="00CC0371"/>
    <w:rsid w:val="00CC0B7D"/>
    <w:rsid w:val="00CC1AD8"/>
    <w:rsid w:val="00CC1E2F"/>
    <w:rsid w:val="00CC216F"/>
    <w:rsid w:val="00CC2AD1"/>
    <w:rsid w:val="00CC2D4A"/>
    <w:rsid w:val="00CC2EBD"/>
    <w:rsid w:val="00CC3C32"/>
    <w:rsid w:val="00CC3E8F"/>
    <w:rsid w:val="00CC534E"/>
    <w:rsid w:val="00CC5B00"/>
    <w:rsid w:val="00CC5CED"/>
    <w:rsid w:val="00CC697D"/>
    <w:rsid w:val="00CC74CC"/>
    <w:rsid w:val="00CC7562"/>
    <w:rsid w:val="00CC7CAC"/>
    <w:rsid w:val="00CD00D2"/>
    <w:rsid w:val="00CD0146"/>
    <w:rsid w:val="00CD0B21"/>
    <w:rsid w:val="00CD1262"/>
    <w:rsid w:val="00CD2F79"/>
    <w:rsid w:val="00CD314E"/>
    <w:rsid w:val="00CD423D"/>
    <w:rsid w:val="00CD45CA"/>
    <w:rsid w:val="00CD4729"/>
    <w:rsid w:val="00CD4750"/>
    <w:rsid w:val="00CD4A34"/>
    <w:rsid w:val="00CD4D4C"/>
    <w:rsid w:val="00CD4EE9"/>
    <w:rsid w:val="00CD5916"/>
    <w:rsid w:val="00CD5DD3"/>
    <w:rsid w:val="00CD6D40"/>
    <w:rsid w:val="00CD75AF"/>
    <w:rsid w:val="00CE013A"/>
    <w:rsid w:val="00CE0194"/>
    <w:rsid w:val="00CE1482"/>
    <w:rsid w:val="00CE14A0"/>
    <w:rsid w:val="00CE159F"/>
    <w:rsid w:val="00CE1DAA"/>
    <w:rsid w:val="00CE25E7"/>
    <w:rsid w:val="00CE290F"/>
    <w:rsid w:val="00CE2DA7"/>
    <w:rsid w:val="00CE2DB4"/>
    <w:rsid w:val="00CE3291"/>
    <w:rsid w:val="00CE38C2"/>
    <w:rsid w:val="00CE3BAB"/>
    <w:rsid w:val="00CE4345"/>
    <w:rsid w:val="00CE43AD"/>
    <w:rsid w:val="00CE4B0F"/>
    <w:rsid w:val="00CE4FEB"/>
    <w:rsid w:val="00CE53DA"/>
    <w:rsid w:val="00CE5477"/>
    <w:rsid w:val="00CE5623"/>
    <w:rsid w:val="00CE6C8A"/>
    <w:rsid w:val="00CE6CC0"/>
    <w:rsid w:val="00CE6F3B"/>
    <w:rsid w:val="00CE700A"/>
    <w:rsid w:val="00CE7548"/>
    <w:rsid w:val="00CE7574"/>
    <w:rsid w:val="00CE763A"/>
    <w:rsid w:val="00CF037A"/>
    <w:rsid w:val="00CF09BA"/>
    <w:rsid w:val="00CF09D7"/>
    <w:rsid w:val="00CF0A66"/>
    <w:rsid w:val="00CF0E68"/>
    <w:rsid w:val="00CF1374"/>
    <w:rsid w:val="00CF13C7"/>
    <w:rsid w:val="00CF14CE"/>
    <w:rsid w:val="00CF24DD"/>
    <w:rsid w:val="00CF2AD4"/>
    <w:rsid w:val="00CF2B69"/>
    <w:rsid w:val="00CF3026"/>
    <w:rsid w:val="00CF32DC"/>
    <w:rsid w:val="00CF3D4D"/>
    <w:rsid w:val="00CF3FA6"/>
    <w:rsid w:val="00CF4C26"/>
    <w:rsid w:val="00CF4C29"/>
    <w:rsid w:val="00CF67D9"/>
    <w:rsid w:val="00CF6B63"/>
    <w:rsid w:val="00CF6B9F"/>
    <w:rsid w:val="00CF70CC"/>
    <w:rsid w:val="00CF7EFC"/>
    <w:rsid w:val="00CF7F54"/>
    <w:rsid w:val="00D0061E"/>
    <w:rsid w:val="00D009C6"/>
    <w:rsid w:val="00D00DE8"/>
    <w:rsid w:val="00D01207"/>
    <w:rsid w:val="00D01338"/>
    <w:rsid w:val="00D029CD"/>
    <w:rsid w:val="00D0352D"/>
    <w:rsid w:val="00D03CE8"/>
    <w:rsid w:val="00D0403A"/>
    <w:rsid w:val="00D047BB"/>
    <w:rsid w:val="00D0606E"/>
    <w:rsid w:val="00D069AA"/>
    <w:rsid w:val="00D06C7B"/>
    <w:rsid w:val="00D07139"/>
    <w:rsid w:val="00D07177"/>
    <w:rsid w:val="00D07440"/>
    <w:rsid w:val="00D07EDD"/>
    <w:rsid w:val="00D07F32"/>
    <w:rsid w:val="00D104CA"/>
    <w:rsid w:val="00D110E6"/>
    <w:rsid w:val="00D116FA"/>
    <w:rsid w:val="00D1232C"/>
    <w:rsid w:val="00D12DAD"/>
    <w:rsid w:val="00D13F58"/>
    <w:rsid w:val="00D15932"/>
    <w:rsid w:val="00D1663E"/>
    <w:rsid w:val="00D16DD8"/>
    <w:rsid w:val="00D175D2"/>
    <w:rsid w:val="00D176D3"/>
    <w:rsid w:val="00D1794D"/>
    <w:rsid w:val="00D17F00"/>
    <w:rsid w:val="00D17F90"/>
    <w:rsid w:val="00D20131"/>
    <w:rsid w:val="00D205A2"/>
    <w:rsid w:val="00D20BA2"/>
    <w:rsid w:val="00D20FB3"/>
    <w:rsid w:val="00D210C1"/>
    <w:rsid w:val="00D21547"/>
    <w:rsid w:val="00D21965"/>
    <w:rsid w:val="00D22061"/>
    <w:rsid w:val="00D22074"/>
    <w:rsid w:val="00D224D8"/>
    <w:rsid w:val="00D22C14"/>
    <w:rsid w:val="00D22F04"/>
    <w:rsid w:val="00D23165"/>
    <w:rsid w:val="00D236CE"/>
    <w:rsid w:val="00D238D2"/>
    <w:rsid w:val="00D239F2"/>
    <w:rsid w:val="00D23D41"/>
    <w:rsid w:val="00D245AC"/>
    <w:rsid w:val="00D249FA"/>
    <w:rsid w:val="00D24AED"/>
    <w:rsid w:val="00D24B04"/>
    <w:rsid w:val="00D24BDF"/>
    <w:rsid w:val="00D2561F"/>
    <w:rsid w:val="00D25656"/>
    <w:rsid w:val="00D2664B"/>
    <w:rsid w:val="00D26826"/>
    <w:rsid w:val="00D2694A"/>
    <w:rsid w:val="00D27960"/>
    <w:rsid w:val="00D27B5D"/>
    <w:rsid w:val="00D27D27"/>
    <w:rsid w:val="00D27EC6"/>
    <w:rsid w:val="00D30E20"/>
    <w:rsid w:val="00D31B68"/>
    <w:rsid w:val="00D33C45"/>
    <w:rsid w:val="00D35BB7"/>
    <w:rsid w:val="00D366FD"/>
    <w:rsid w:val="00D369D9"/>
    <w:rsid w:val="00D36E22"/>
    <w:rsid w:val="00D37035"/>
    <w:rsid w:val="00D37CF7"/>
    <w:rsid w:val="00D37EC6"/>
    <w:rsid w:val="00D405BD"/>
    <w:rsid w:val="00D4073E"/>
    <w:rsid w:val="00D40B37"/>
    <w:rsid w:val="00D40EFE"/>
    <w:rsid w:val="00D41268"/>
    <w:rsid w:val="00D41277"/>
    <w:rsid w:val="00D419D4"/>
    <w:rsid w:val="00D42143"/>
    <w:rsid w:val="00D421B7"/>
    <w:rsid w:val="00D43CDB"/>
    <w:rsid w:val="00D449DE"/>
    <w:rsid w:val="00D44E01"/>
    <w:rsid w:val="00D45498"/>
    <w:rsid w:val="00D46264"/>
    <w:rsid w:val="00D464F9"/>
    <w:rsid w:val="00D465EA"/>
    <w:rsid w:val="00D467BC"/>
    <w:rsid w:val="00D4684E"/>
    <w:rsid w:val="00D47358"/>
    <w:rsid w:val="00D473B5"/>
    <w:rsid w:val="00D50DF4"/>
    <w:rsid w:val="00D51A5A"/>
    <w:rsid w:val="00D51E72"/>
    <w:rsid w:val="00D526D3"/>
    <w:rsid w:val="00D52A72"/>
    <w:rsid w:val="00D52B59"/>
    <w:rsid w:val="00D52CDE"/>
    <w:rsid w:val="00D530FC"/>
    <w:rsid w:val="00D545CE"/>
    <w:rsid w:val="00D54812"/>
    <w:rsid w:val="00D54E38"/>
    <w:rsid w:val="00D551DF"/>
    <w:rsid w:val="00D56302"/>
    <w:rsid w:val="00D56987"/>
    <w:rsid w:val="00D569EF"/>
    <w:rsid w:val="00D56CC8"/>
    <w:rsid w:val="00D5718F"/>
    <w:rsid w:val="00D579F7"/>
    <w:rsid w:val="00D602E6"/>
    <w:rsid w:val="00D60420"/>
    <w:rsid w:val="00D6087E"/>
    <w:rsid w:val="00D60A32"/>
    <w:rsid w:val="00D60BC8"/>
    <w:rsid w:val="00D6162D"/>
    <w:rsid w:val="00D61881"/>
    <w:rsid w:val="00D621F2"/>
    <w:rsid w:val="00D6355C"/>
    <w:rsid w:val="00D6381E"/>
    <w:rsid w:val="00D6382A"/>
    <w:rsid w:val="00D6391F"/>
    <w:rsid w:val="00D63D6A"/>
    <w:rsid w:val="00D6415A"/>
    <w:rsid w:val="00D6447A"/>
    <w:rsid w:val="00D6466D"/>
    <w:rsid w:val="00D64FA8"/>
    <w:rsid w:val="00D65585"/>
    <w:rsid w:val="00D662A1"/>
    <w:rsid w:val="00D66704"/>
    <w:rsid w:val="00D669E7"/>
    <w:rsid w:val="00D66FF8"/>
    <w:rsid w:val="00D6775B"/>
    <w:rsid w:val="00D7026C"/>
    <w:rsid w:val="00D70A37"/>
    <w:rsid w:val="00D70B4D"/>
    <w:rsid w:val="00D70E27"/>
    <w:rsid w:val="00D710D4"/>
    <w:rsid w:val="00D711DE"/>
    <w:rsid w:val="00D723BD"/>
    <w:rsid w:val="00D72E3D"/>
    <w:rsid w:val="00D73294"/>
    <w:rsid w:val="00D734E8"/>
    <w:rsid w:val="00D7453A"/>
    <w:rsid w:val="00D74E8B"/>
    <w:rsid w:val="00D751A8"/>
    <w:rsid w:val="00D758CA"/>
    <w:rsid w:val="00D75A74"/>
    <w:rsid w:val="00D75DC4"/>
    <w:rsid w:val="00D7677D"/>
    <w:rsid w:val="00D76A10"/>
    <w:rsid w:val="00D76D60"/>
    <w:rsid w:val="00D76E5B"/>
    <w:rsid w:val="00D76EB2"/>
    <w:rsid w:val="00D7725D"/>
    <w:rsid w:val="00D7752F"/>
    <w:rsid w:val="00D7786D"/>
    <w:rsid w:val="00D80271"/>
    <w:rsid w:val="00D8083A"/>
    <w:rsid w:val="00D80C67"/>
    <w:rsid w:val="00D80FC0"/>
    <w:rsid w:val="00D81053"/>
    <w:rsid w:val="00D82079"/>
    <w:rsid w:val="00D82384"/>
    <w:rsid w:val="00D8279C"/>
    <w:rsid w:val="00D82ADF"/>
    <w:rsid w:val="00D83C39"/>
    <w:rsid w:val="00D83D98"/>
    <w:rsid w:val="00D83E1B"/>
    <w:rsid w:val="00D8469C"/>
    <w:rsid w:val="00D84EEF"/>
    <w:rsid w:val="00D85681"/>
    <w:rsid w:val="00D857BB"/>
    <w:rsid w:val="00D8582C"/>
    <w:rsid w:val="00D8591B"/>
    <w:rsid w:val="00D85BC5"/>
    <w:rsid w:val="00D85DD7"/>
    <w:rsid w:val="00D8615F"/>
    <w:rsid w:val="00D86BFF"/>
    <w:rsid w:val="00D87918"/>
    <w:rsid w:val="00D90496"/>
    <w:rsid w:val="00D90DA6"/>
    <w:rsid w:val="00D91545"/>
    <w:rsid w:val="00D929B7"/>
    <w:rsid w:val="00D92C64"/>
    <w:rsid w:val="00D92CC4"/>
    <w:rsid w:val="00D938E8"/>
    <w:rsid w:val="00D939BF"/>
    <w:rsid w:val="00D9409D"/>
    <w:rsid w:val="00D9439D"/>
    <w:rsid w:val="00D948DA"/>
    <w:rsid w:val="00D94D14"/>
    <w:rsid w:val="00D9585E"/>
    <w:rsid w:val="00D95CBE"/>
    <w:rsid w:val="00D96A8A"/>
    <w:rsid w:val="00D97430"/>
    <w:rsid w:val="00DA0131"/>
    <w:rsid w:val="00DA0E83"/>
    <w:rsid w:val="00DA0EAB"/>
    <w:rsid w:val="00DA0EEB"/>
    <w:rsid w:val="00DA1520"/>
    <w:rsid w:val="00DA191C"/>
    <w:rsid w:val="00DA1F2A"/>
    <w:rsid w:val="00DA248B"/>
    <w:rsid w:val="00DA29F6"/>
    <w:rsid w:val="00DA316B"/>
    <w:rsid w:val="00DA58A4"/>
    <w:rsid w:val="00DA59D6"/>
    <w:rsid w:val="00DA5AFD"/>
    <w:rsid w:val="00DA5EA5"/>
    <w:rsid w:val="00DA602C"/>
    <w:rsid w:val="00DA68A7"/>
    <w:rsid w:val="00DA7687"/>
    <w:rsid w:val="00DA76FB"/>
    <w:rsid w:val="00DA7BC8"/>
    <w:rsid w:val="00DB0DEE"/>
    <w:rsid w:val="00DB187D"/>
    <w:rsid w:val="00DB269E"/>
    <w:rsid w:val="00DB29CB"/>
    <w:rsid w:val="00DB336B"/>
    <w:rsid w:val="00DB3F39"/>
    <w:rsid w:val="00DB450B"/>
    <w:rsid w:val="00DB4752"/>
    <w:rsid w:val="00DB4B7B"/>
    <w:rsid w:val="00DB5581"/>
    <w:rsid w:val="00DB5AEE"/>
    <w:rsid w:val="00DB7AFF"/>
    <w:rsid w:val="00DB7DF7"/>
    <w:rsid w:val="00DB7FCA"/>
    <w:rsid w:val="00DC044C"/>
    <w:rsid w:val="00DC0E41"/>
    <w:rsid w:val="00DC0E60"/>
    <w:rsid w:val="00DC1061"/>
    <w:rsid w:val="00DC11D5"/>
    <w:rsid w:val="00DC1389"/>
    <w:rsid w:val="00DC1674"/>
    <w:rsid w:val="00DC1D3D"/>
    <w:rsid w:val="00DC2247"/>
    <w:rsid w:val="00DC269C"/>
    <w:rsid w:val="00DC27F1"/>
    <w:rsid w:val="00DC3173"/>
    <w:rsid w:val="00DC384C"/>
    <w:rsid w:val="00DC450C"/>
    <w:rsid w:val="00DC4526"/>
    <w:rsid w:val="00DC4C9C"/>
    <w:rsid w:val="00DC50CF"/>
    <w:rsid w:val="00DC527A"/>
    <w:rsid w:val="00DC6446"/>
    <w:rsid w:val="00DC6456"/>
    <w:rsid w:val="00DC668B"/>
    <w:rsid w:val="00DC6734"/>
    <w:rsid w:val="00DC6B93"/>
    <w:rsid w:val="00DC7A43"/>
    <w:rsid w:val="00DC7EEE"/>
    <w:rsid w:val="00DD0C98"/>
    <w:rsid w:val="00DD18A7"/>
    <w:rsid w:val="00DD1916"/>
    <w:rsid w:val="00DD20A8"/>
    <w:rsid w:val="00DD2CFC"/>
    <w:rsid w:val="00DD2EB6"/>
    <w:rsid w:val="00DD38CA"/>
    <w:rsid w:val="00DD40CD"/>
    <w:rsid w:val="00DD57E3"/>
    <w:rsid w:val="00DD583B"/>
    <w:rsid w:val="00DD5841"/>
    <w:rsid w:val="00DD5AA1"/>
    <w:rsid w:val="00DD5AA5"/>
    <w:rsid w:val="00DD5AE0"/>
    <w:rsid w:val="00DD5E50"/>
    <w:rsid w:val="00DD62E4"/>
    <w:rsid w:val="00DD6308"/>
    <w:rsid w:val="00DD63B5"/>
    <w:rsid w:val="00DD6EF3"/>
    <w:rsid w:val="00DD75ED"/>
    <w:rsid w:val="00DE0160"/>
    <w:rsid w:val="00DE08B0"/>
    <w:rsid w:val="00DE0AAF"/>
    <w:rsid w:val="00DE0F51"/>
    <w:rsid w:val="00DE13E4"/>
    <w:rsid w:val="00DE2CA4"/>
    <w:rsid w:val="00DE2CBB"/>
    <w:rsid w:val="00DE2ED2"/>
    <w:rsid w:val="00DE30C5"/>
    <w:rsid w:val="00DE30D7"/>
    <w:rsid w:val="00DE32B7"/>
    <w:rsid w:val="00DE3FCE"/>
    <w:rsid w:val="00DE40F1"/>
    <w:rsid w:val="00DE4193"/>
    <w:rsid w:val="00DE44AF"/>
    <w:rsid w:val="00DE45D2"/>
    <w:rsid w:val="00DE4B4A"/>
    <w:rsid w:val="00DE5A2B"/>
    <w:rsid w:val="00DE6475"/>
    <w:rsid w:val="00DE6EEC"/>
    <w:rsid w:val="00DE7E8F"/>
    <w:rsid w:val="00DF01C6"/>
    <w:rsid w:val="00DF10CD"/>
    <w:rsid w:val="00DF19F0"/>
    <w:rsid w:val="00DF2419"/>
    <w:rsid w:val="00DF2486"/>
    <w:rsid w:val="00DF26BA"/>
    <w:rsid w:val="00DF2700"/>
    <w:rsid w:val="00DF286B"/>
    <w:rsid w:val="00DF39BF"/>
    <w:rsid w:val="00DF3A4C"/>
    <w:rsid w:val="00DF3B48"/>
    <w:rsid w:val="00DF3B66"/>
    <w:rsid w:val="00DF3DB1"/>
    <w:rsid w:val="00DF42AD"/>
    <w:rsid w:val="00DF4A29"/>
    <w:rsid w:val="00DF4BD2"/>
    <w:rsid w:val="00DF4C1B"/>
    <w:rsid w:val="00DF56DA"/>
    <w:rsid w:val="00DF5B69"/>
    <w:rsid w:val="00DF608F"/>
    <w:rsid w:val="00DF6498"/>
    <w:rsid w:val="00DF6D81"/>
    <w:rsid w:val="00DF705C"/>
    <w:rsid w:val="00DF70C8"/>
    <w:rsid w:val="00DF7281"/>
    <w:rsid w:val="00DF78F4"/>
    <w:rsid w:val="00E0059B"/>
    <w:rsid w:val="00E009A7"/>
    <w:rsid w:val="00E013A4"/>
    <w:rsid w:val="00E020E5"/>
    <w:rsid w:val="00E02507"/>
    <w:rsid w:val="00E03DF7"/>
    <w:rsid w:val="00E0495B"/>
    <w:rsid w:val="00E04983"/>
    <w:rsid w:val="00E05081"/>
    <w:rsid w:val="00E05720"/>
    <w:rsid w:val="00E06006"/>
    <w:rsid w:val="00E062A6"/>
    <w:rsid w:val="00E06819"/>
    <w:rsid w:val="00E0699D"/>
    <w:rsid w:val="00E06B91"/>
    <w:rsid w:val="00E07A18"/>
    <w:rsid w:val="00E10B90"/>
    <w:rsid w:val="00E10C49"/>
    <w:rsid w:val="00E10FAA"/>
    <w:rsid w:val="00E10FBE"/>
    <w:rsid w:val="00E1128B"/>
    <w:rsid w:val="00E11EBA"/>
    <w:rsid w:val="00E123DE"/>
    <w:rsid w:val="00E124DB"/>
    <w:rsid w:val="00E128C3"/>
    <w:rsid w:val="00E12D0D"/>
    <w:rsid w:val="00E1383F"/>
    <w:rsid w:val="00E13C21"/>
    <w:rsid w:val="00E13C7B"/>
    <w:rsid w:val="00E14713"/>
    <w:rsid w:val="00E1496D"/>
    <w:rsid w:val="00E165B3"/>
    <w:rsid w:val="00E16644"/>
    <w:rsid w:val="00E167D0"/>
    <w:rsid w:val="00E16C70"/>
    <w:rsid w:val="00E1704F"/>
    <w:rsid w:val="00E179A2"/>
    <w:rsid w:val="00E17E6F"/>
    <w:rsid w:val="00E20713"/>
    <w:rsid w:val="00E207AE"/>
    <w:rsid w:val="00E209D1"/>
    <w:rsid w:val="00E20A48"/>
    <w:rsid w:val="00E20BD9"/>
    <w:rsid w:val="00E22133"/>
    <w:rsid w:val="00E222A8"/>
    <w:rsid w:val="00E22BD8"/>
    <w:rsid w:val="00E2469B"/>
    <w:rsid w:val="00E25079"/>
    <w:rsid w:val="00E25335"/>
    <w:rsid w:val="00E25804"/>
    <w:rsid w:val="00E25916"/>
    <w:rsid w:val="00E2595F"/>
    <w:rsid w:val="00E259C5"/>
    <w:rsid w:val="00E26E0E"/>
    <w:rsid w:val="00E27862"/>
    <w:rsid w:val="00E300F2"/>
    <w:rsid w:val="00E31251"/>
    <w:rsid w:val="00E32372"/>
    <w:rsid w:val="00E327E6"/>
    <w:rsid w:val="00E333A8"/>
    <w:rsid w:val="00E33B91"/>
    <w:rsid w:val="00E354EF"/>
    <w:rsid w:val="00E361A1"/>
    <w:rsid w:val="00E36794"/>
    <w:rsid w:val="00E36927"/>
    <w:rsid w:val="00E3708C"/>
    <w:rsid w:val="00E37DEE"/>
    <w:rsid w:val="00E40B5D"/>
    <w:rsid w:val="00E40F84"/>
    <w:rsid w:val="00E416B2"/>
    <w:rsid w:val="00E41FAF"/>
    <w:rsid w:val="00E4200B"/>
    <w:rsid w:val="00E42170"/>
    <w:rsid w:val="00E424DF"/>
    <w:rsid w:val="00E42729"/>
    <w:rsid w:val="00E43C65"/>
    <w:rsid w:val="00E459A5"/>
    <w:rsid w:val="00E45F4D"/>
    <w:rsid w:val="00E45F50"/>
    <w:rsid w:val="00E462A4"/>
    <w:rsid w:val="00E46609"/>
    <w:rsid w:val="00E46F69"/>
    <w:rsid w:val="00E5022B"/>
    <w:rsid w:val="00E50455"/>
    <w:rsid w:val="00E518A7"/>
    <w:rsid w:val="00E519D0"/>
    <w:rsid w:val="00E52A16"/>
    <w:rsid w:val="00E52D71"/>
    <w:rsid w:val="00E53E89"/>
    <w:rsid w:val="00E541EB"/>
    <w:rsid w:val="00E54B44"/>
    <w:rsid w:val="00E54BFE"/>
    <w:rsid w:val="00E559C8"/>
    <w:rsid w:val="00E55DAE"/>
    <w:rsid w:val="00E55F1E"/>
    <w:rsid w:val="00E56331"/>
    <w:rsid w:val="00E56A2C"/>
    <w:rsid w:val="00E56E7C"/>
    <w:rsid w:val="00E575FA"/>
    <w:rsid w:val="00E5774D"/>
    <w:rsid w:val="00E6090F"/>
    <w:rsid w:val="00E60D87"/>
    <w:rsid w:val="00E61472"/>
    <w:rsid w:val="00E622EB"/>
    <w:rsid w:val="00E62DCF"/>
    <w:rsid w:val="00E634D2"/>
    <w:rsid w:val="00E6468B"/>
    <w:rsid w:val="00E646DB"/>
    <w:rsid w:val="00E650A7"/>
    <w:rsid w:val="00E6510C"/>
    <w:rsid w:val="00E66332"/>
    <w:rsid w:val="00E670C8"/>
    <w:rsid w:val="00E678CF"/>
    <w:rsid w:val="00E67F40"/>
    <w:rsid w:val="00E70274"/>
    <w:rsid w:val="00E70CCD"/>
    <w:rsid w:val="00E71241"/>
    <w:rsid w:val="00E71644"/>
    <w:rsid w:val="00E733C2"/>
    <w:rsid w:val="00E7360A"/>
    <w:rsid w:val="00E73C27"/>
    <w:rsid w:val="00E740E0"/>
    <w:rsid w:val="00E7467A"/>
    <w:rsid w:val="00E751B0"/>
    <w:rsid w:val="00E7572F"/>
    <w:rsid w:val="00E76355"/>
    <w:rsid w:val="00E76D1F"/>
    <w:rsid w:val="00E773C1"/>
    <w:rsid w:val="00E809A1"/>
    <w:rsid w:val="00E81305"/>
    <w:rsid w:val="00E81822"/>
    <w:rsid w:val="00E81B8C"/>
    <w:rsid w:val="00E82A56"/>
    <w:rsid w:val="00E83B92"/>
    <w:rsid w:val="00E83CFF"/>
    <w:rsid w:val="00E84497"/>
    <w:rsid w:val="00E8461A"/>
    <w:rsid w:val="00E84879"/>
    <w:rsid w:val="00E85995"/>
    <w:rsid w:val="00E85C98"/>
    <w:rsid w:val="00E85FDB"/>
    <w:rsid w:val="00E8609F"/>
    <w:rsid w:val="00E86DBB"/>
    <w:rsid w:val="00E87990"/>
    <w:rsid w:val="00E9085D"/>
    <w:rsid w:val="00E90E73"/>
    <w:rsid w:val="00E91137"/>
    <w:rsid w:val="00E91669"/>
    <w:rsid w:val="00E91D15"/>
    <w:rsid w:val="00E91F77"/>
    <w:rsid w:val="00E94B26"/>
    <w:rsid w:val="00E94E8F"/>
    <w:rsid w:val="00E958CA"/>
    <w:rsid w:val="00E96A92"/>
    <w:rsid w:val="00E9780A"/>
    <w:rsid w:val="00E979DC"/>
    <w:rsid w:val="00E97AAF"/>
    <w:rsid w:val="00E97FB5"/>
    <w:rsid w:val="00EA0684"/>
    <w:rsid w:val="00EA2406"/>
    <w:rsid w:val="00EA2445"/>
    <w:rsid w:val="00EA282E"/>
    <w:rsid w:val="00EA2BA2"/>
    <w:rsid w:val="00EA2D84"/>
    <w:rsid w:val="00EA3226"/>
    <w:rsid w:val="00EA38D2"/>
    <w:rsid w:val="00EA4C4A"/>
    <w:rsid w:val="00EA514A"/>
    <w:rsid w:val="00EA561C"/>
    <w:rsid w:val="00EA5996"/>
    <w:rsid w:val="00EA5D2A"/>
    <w:rsid w:val="00EA6090"/>
    <w:rsid w:val="00EA6514"/>
    <w:rsid w:val="00EA68AD"/>
    <w:rsid w:val="00EA6AA9"/>
    <w:rsid w:val="00EA6F25"/>
    <w:rsid w:val="00EA7630"/>
    <w:rsid w:val="00EB01B8"/>
    <w:rsid w:val="00EB0245"/>
    <w:rsid w:val="00EB0368"/>
    <w:rsid w:val="00EB08C4"/>
    <w:rsid w:val="00EB0CB8"/>
    <w:rsid w:val="00EB11FC"/>
    <w:rsid w:val="00EB12F4"/>
    <w:rsid w:val="00EB12F7"/>
    <w:rsid w:val="00EB1A0F"/>
    <w:rsid w:val="00EB1BE2"/>
    <w:rsid w:val="00EB1F1D"/>
    <w:rsid w:val="00EB2372"/>
    <w:rsid w:val="00EB306D"/>
    <w:rsid w:val="00EB336A"/>
    <w:rsid w:val="00EB3418"/>
    <w:rsid w:val="00EB3DCF"/>
    <w:rsid w:val="00EB41A6"/>
    <w:rsid w:val="00EB48F7"/>
    <w:rsid w:val="00EB49EB"/>
    <w:rsid w:val="00EB4B89"/>
    <w:rsid w:val="00EB4D79"/>
    <w:rsid w:val="00EB5737"/>
    <w:rsid w:val="00EB57CE"/>
    <w:rsid w:val="00EB5D5E"/>
    <w:rsid w:val="00EB5FD6"/>
    <w:rsid w:val="00EB7269"/>
    <w:rsid w:val="00EB765E"/>
    <w:rsid w:val="00EC0494"/>
    <w:rsid w:val="00EC1BD9"/>
    <w:rsid w:val="00EC1BFE"/>
    <w:rsid w:val="00EC1C50"/>
    <w:rsid w:val="00EC3236"/>
    <w:rsid w:val="00EC36A3"/>
    <w:rsid w:val="00EC3CF3"/>
    <w:rsid w:val="00EC3D8A"/>
    <w:rsid w:val="00EC4254"/>
    <w:rsid w:val="00EC4263"/>
    <w:rsid w:val="00EC47D7"/>
    <w:rsid w:val="00EC69CC"/>
    <w:rsid w:val="00EC6D7D"/>
    <w:rsid w:val="00EC6FE0"/>
    <w:rsid w:val="00ED0D6E"/>
    <w:rsid w:val="00ED0DDF"/>
    <w:rsid w:val="00ED0E61"/>
    <w:rsid w:val="00ED13BD"/>
    <w:rsid w:val="00ED1634"/>
    <w:rsid w:val="00ED1CE4"/>
    <w:rsid w:val="00ED24CD"/>
    <w:rsid w:val="00ED2B0F"/>
    <w:rsid w:val="00ED2CA8"/>
    <w:rsid w:val="00ED3D1F"/>
    <w:rsid w:val="00ED3F15"/>
    <w:rsid w:val="00ED4A34"/>
    <w:rsid w:val="00ED4A84"/>
    <w:rsid w:val="00ED4EF6"/>
    <w:rsid w:val="00ED4F9E"/>
    <w:rsid w:val="00ED56C8"/>
    <w:rsid w:val="00ED5913"/>
    <w:rsid w:val="00ED638C"/>
    <w:rsid w:val="00ED63CE"/>
    <w:rsid w:val="00ED68CD"/>
    <w:rsid w:val="00ED7BBC"/>
    <w:rsid w:val="00EE05DA"/>
    <w:rsid w:val="00EE0CFE"/>
    <w:rsid w:val="00EE19AD"/>
    <w:rsid w:val="00EE1EBC"/>
    <w:rsid w:val="00EE2DF4"/>
    <w:rsid w:val="00EE2E3B"/>
    <w:rsid w:val="00EE31C4"/>
    <w:rsid w:val="00EE344A"/>
    <w:rsid w:val="00EE4351"/>
    <w:rsid w:val="00EE4B1F"/>
    <w:rsid w:val="00EE5563"/>
    <w:rsid w:val="00EE5BFA"/>
    <w:rsid w:val="00EE64EE"/>
    <w:rsid w:val="00EE6696"/>
    <w:rsid w:val="00EE69DA"/>
    <w:rsid w:val="00EE6A33"/>
    <w:rsid w:val="00EE6C18"/>
    <w:rsid w:val="00EE7248"/>
    <w:rsid w:val="00EE7763"/>
    <w:rsid w:val="00EE7C55"/>
    <w:rsid w:val="00EF0337"/>
    <w:rsid w:val="00EF08E8"/>
    <w:rsid w:val="00EF08F2"/>
    <w:rsid w:val="00EF254E"/>
    <w:rsid w:val="00EF2B55"/>
    <w:rsid w:val="00EF316C"/>
    <w:rsid w:val="00EF396C"/>
    <w:rsid w:val="00EF4A29"/>
    <w:rsid w:val="00EF5834"/>
    <w:rsid w:val="00EF5D4B"/>
    <w:rsid w:val="00EF6125"/>
    <w:rsid w:val="00EF6298"/>
    <w:rsid w:val="00EF6352"/>
    <w:rsid w:val="00EF64CB"/>
    <w:rsid w:val="00EF65FF"/>
    <w:rsid w:val="00EF66B1"/>
    <w:rsid w:val="00EF6785"/>
    <w:rsid w:val="00EF68C3"/>
    <w:rsid w:val="00EF69A6"/>
    <w:rsid w:val="00EF6DA7"/>
    <w:rsid w:val="00EF6F69"/>
    <w:rsid w:val="00EF7911"/>
    <w:rsid w:val="00EF791C"/>
    <w:rsid w:val="00EF7A5A"/>
    <w:rsid w:val="00F00134"/>
    <w:rsid w:val="00F0030F"/>
    <w:rsid w:val="00F0066C"/>
    <w:rsid w:val="00F00740"/>
    <w:rsid w:val="00F00858"/>
    <w:rsid w:val="00F01DCB"/>
    <w:rsid w:val="00F01E4C"/>
    <w:rsid w:val="00F01F4D"/>
    <w:rsid w:val="00F0209C"/>
    <w:rsid w:val="00F041A7"/>
    <w:rsid w:val="00F042A8"/>
    <w:rsid w:val="00F042D9"/>
    <w:rsid w:val="00F04999"/>
    <w:rsid w:val="00F060C5"/>
    <w:rsid w:val="00F064F6"/>
    <w:rsid w:val="00F07016"/>
    <w:rsid w:val="00F070DD"/>
    <w:rsid w:val="00F07291"/>
    <w:rsid w:val="00F10695"/>
    <w:rsid w:val="00F1091C"/>
    <w:rsid w:val="00F10A54"/>
    <w:rsid w:val="00F10D33"/>
    <w:rsid w:val="00F10F0D"/>
    <w:rsid w:val="00F10F6E"/>
    <w:rsid w:val="00F11BBE"/>
    <w:rsid w:val="00F1228C"/>
    <w:rsid w:val="00F125C9"/>
    <w:rsid w:val="00F126F5"/>
    <w:rsid w:val="00F12F6E"/>
    <w:rsid w:val="00F132B3"/>
    <w:rsid w:val="00F136C5"/>
    <w:rsid w:val="00F139E0"/>
    <w:rsid w:val="00F13C85"/>
    <w:rsid w:val="00F1460F"/>
    <w:rsid w:val="00F1461B"/>
    <w:rsid w:val="00F14789"/>
    <w:rsid w:val="00F14F35"/>
    <w:rsid w:val="00F14F90"/>
    <w:rsid w:val="00F15DDA"/>
    <w:rsid w:val="00F168F6"/>
    <w:rsid w:val="00F16AB6"/>
    <w:rsid w:val="00F16E3F"/>
    <w:rsid w:val="00F179AC"/>
    <w:rsid w:val="00F21702"/>
    <w:rsid w:val="00F22BEB"/>
    <w:rsid w:val="00F22E40"/>
    <w:rsid w:val="00F22FCA"/>
    <w:rsid w:val="00F2390F"/>
    <w:rsid w:val="00F2392F"/>
    <w:rsid w:val="00F24A0E"/>
    <w:rsid w:val="00F25A18"/>
    <w:rsid w:val="00F25DA2"/>
    <w:rsid w:val="00F2740E"/>
    <w:rsid w:val="00F27CBB"/>
    <w:rsid w:val="00F300AF"/>
    <w:rsid w:val="00F30E1A"/>
    <w:rsid w:val="00F31243"/>
    <w:rsid w:val="00F31554"/>
    <w:rsid w:val="00F319C6"/>
    <w:rsid w:val="00F320DF"/>
    <w:rsid w:val="00F325DB"/>
    <w:rsid w:val="00F32BA9"/>
    <w:rsid w:val="00F331FA"/>
    <w:rsid w:val="00F348EF"/>
    <w:rsid w:val="00F35518"/>
    <w:rsid w:val="00F3557E"/>
    <w:rsid w:val="00F35786"/>
    <w:rsid w:val="00F36BBE"/>
    <w:rsid w:val="00F36BC4"/>
    <w:rsid w:val="00F36C8B"/>
    <w:rsid w:val="00F370CF"/>
    <w:rsid w:val="00F37619"/>
    <w:rsid w:val="00F37954"/>
    <w:rsid w:val="00F37C8E"/>
    <w:rsid w:val="00F4149A"/>
    <w:rsid w:val="00F4177A"/>
    <w:rsid w:val="00F41AA8"/>
    <w:rsid w:val="00F422EB"/>
    <w:rsid w:val="00F4252E"/>
    <w:rsid w:val="00F43DB4"/>
    <w:rsid w:val="00F4435A"/>
    <w:rsid w:val="00F4450C"/>
    <w:rsid w:val="00F446F3"/>
    <w:rsid w:val="00F44893"/>
    <w:rsid w:val="00F4490C"/>
    <w:rsid w:val="00F44B77"/>
    <w:rsid w:val="00F44CB7"/>
    <w:rsid w:val="00F44D46"/>
    <w:rsid w:val="00F4537E"/>
    <w:rsid w:val="00F453F9"/>
    <w:rsid w:val="00F4556E"/>
    <w:rsid w:val="00F45D75"/>
    <w:rsid w:val="00F45F98"/>
    <w:rsid w:val="00F46753"/>
    <w:rsid w:val="00F46B53"/>
    <w:rsid w:val="00F46BAD"/>
    <w:rsid w:val="00F47479"/>
    <w:rsid w:val="00F4788F"/>
    <w:rsid w:val="00F479A9"/>
    <w:rsid w:val="00F47A70"/>
    <w:rsid w:val="00F47B57"/>
    <w:rsid w:val="00F504AA"/>
    <w:rsid w:val="00F504E0"/>
    <w:rsid w:val="00F523E7"/>
    <w:rsid w:val="00F52699"/>
    <w:rsid w:val="00F52A7E"/>
    <w:rsid w:val="00F52BBD"/>
    <w:rsid w:val="00F530EF"/>
    <w:rsid w:val="00F531AB"/>
    <w:rsid w:val="00F53371"/>
    <w:rsid w:val="00F535AF"/>
    <w:rsid w:val="00F53642"/>
    <w:rsid w:val="00F538CE"/>
    <w:rsid w:val="00F53A86"/>
    <w:rsid w:val="00F54170"/>
    <w:rsid w:val="00F54AC0"/>
    <w:rsid w:val="00F5535A"/>
    <w:rsid w:val="00F55495"/>
    <w:rsid w:val="00F559B4"/>
    <w:rsid w:val="00F55A22"/>
    <w:rsid w:val="00F5628C"/>
    <w:rsid w:val="00F56388"/>
    <w:rsid w:val="00F56489"/>
    <w:rsid w:val="00F57732"/>
    <w:rsid w:val="00F60E85"/>
    <w:rsid w:val="00F621D1"/>
    <w:rsid w:val="00F62222"/>
    <w:rsid w:val="00F62D52"/>
    <w:rsid w:val="00F63FF6"/>
    <w:rsid w:val="00F640BB"/>
    <w:rsid w:val="00F64177"/>
    <w:rsid w:val="00F64263"/>
    <w:rsid w:val="00F64A9A"/>
    <w:rsid w:val="00F64E85"/>
    <w:rsid w:val="00F652B6"/>
    <w:rsid w:val="00F6538D"/>
    <w:rsid w:val="00F65DC9"/>
    <w:rsid w:val="00F65E52"/>
    <w:rsid w:val="00F661DB"/>
    <w:rsid w:val="00F66416"/>
    <w:rsid w:val="00F66900"/>
    <w:rsid w:val="00F678CD"/>
    <w:rsid w:val="00F679C7"/>
    <w:rsid w:val="00F67F47"/>
    <w:rsid w:val="00F67FBC"/>
    <w:rsid w:val="00F702B3"/>
    <w:rsid w:val="00F71448"/>
    <w:rsid w:val="00F716E7"/>
    <w:rsid w:val="00F71E6B"/>
    <w:rsid w:val="00F72A69"/>
    <w:rsid w:val="00F7339D"/>
    <w:rsid w:val="00F7343A"/>
    <w:rsid w:val="00F74677"/>
    <w:rsid w:val="00F74751"/>
    <w:rsid w:val="00F75609"/>
    <w:rsid w:val="00F75815"/>
    <w:rsid w:val="00F7647B"/>
    <w:rsid w:val="00F76BE3"/>
    <w:rsid w:val="00F77575"/>
    <w:rsid w:val="00F7794D"/>
    <w:rsid w:val="00F80A61"/>
    <w:rsid w:val="00F81A23"/>
    <w:rsid w:val="00F831C9"/>
    <w:rsid w:val="00F83644"/>
    <w:rsid w:val="00F843F8"/>
    <w:rsid w:val="00F84A4B"/>
    <w:rsid w:val="00F84BE3"/>
    <w:rsid w:val="00F8537C"/>
    <w:rsid w:val="00F8641D"/>
    <w:rsid w:val="00F8673A"/>
    <w:rsid w:val="00F86A75"/>
    <w:rsid w:val="00F86B72"/>
    <w:rsid w:val="00F86C46"/>
    <w:rsid w:val="00F87344"/>
    <w:rsid w:val="00F8778F"/>
    <w:rsid w:val="00F900EF"/>
    <w:rsid w:val="00F9054B"/>
    <w:rsid w:val="00F907C9"/>
    <w:rsid w:val="00F90874"/>
    <w:rsid w:val="00F90CC2"/>
    <w:rsid w:val="00F9149D"/>
    <w:rsid w:val="00F91BB2"/>
    <w:rsid w:val="00F91C63"/>
    <w:rsid w:val="00F922CC"/>
    <w:rsid w:val="00F926F7"/>
    <w:rsid w:val="00F92B37"/>
    <w:rsid w:val="00F930EC"/>
    <w:rsid w:val="00F9337E"/>
    <w:rsid w:val="00F938D5"/>
    <w:rsid w:val="00F93B08"/>
    <w:rsid w:val="00F93F9C"/>
    <w:rsid w:val="00F94599"/>
    <w:rsid w:val="00F94E73"/>
    <w:rsid w:val="00F952EE"/>
    <w:rsid w:val="00F95507"/>
    <w:rsid w:val="00F96721"/>
    <w:rsid w:val="00F967AB"/>
    <w:rsid w:val="00F96BDE"/>
    <w:rsid w:val="00F96C0A"/>
    <w:rsid w:val="00F97045"/>
    <w:rsid w:val="00F976FA"/>
    <w:rsid w:val="00F978AE"/>
    <w:rsid w:val="00FA01BD"/>
    <w:rsid w:val="00FA0F8E"/>
    <w:rsid w:val="00FA147D"/>
    <w:rsid w:val="00FA1F13"/>
    <w:rsid w:val="00FA2229"/>
    <w:rsid w:val="00FA2275"/>
    <w:rsid w:val="00FA2286"/>
    <w:rsid w:val="00FA23DC"/>
    <w:rsid w:val="00FA2BCE"/>
    <w:rsid w:val="00FA3A81"/>
    <w:rsid w:val="00FA3D0F"/>
    <w:rsid w:val="00FA4480"/>
    <w:rsid w:val="00FA49DF"/>
    <w:rsid w:val="00FA4AFA"/>
    <w:rsid w:val="00FA4F27"/>
    <w:rsid w:val="00FA6EBC"/>
    <w:rsid w:val="00FA7DAB"/>
    <w:rsid w:val="00FB0CA4"/>
    <w:rsid w:val="00FB123E"/>
    <w:rsid w:val="00FB2D95"/>
    <w:rsid w:val="00FB36D4"/>
    <w:rsid w:val="00FB3C06"/>
    <w:rsid w:val="00FB409A"/>
    <w:rsid w:val="00FB4594"/>
    <w:rsid w:val="00FB4C4F"/>
    <w:rsid w:val="00FB4F18"/>
    <w:rsid w:val="00FB5669"/>
    <w:rsid w:val="00FB62BF"/>
    <w:rsid w:val="00FB6523"/>
    <w:rsid w:val="00FB692C"/>
    <w:rsid w:val="00FB7369"/>
    <w:rsid w:val="00FB73BF"/>
    <w:rsid w:val="00FB775A"/>
    <w:rsid w:val="00FB7ACD"/>
    <w:rsid w:val="00FB7DC7"/>
    <w:rsid w:val="00FB7E17"/>
    <w:rsid w:val="00FC0B31"/>
    <w:rsid w:val="00FC0FD6"/>
    <w:rsid w:val="00FC121B"/>
    <w:rsid w:val="00FC1896"/>
    <w:rsid w:val="00FC20DE"/>
    <w:rsid w:val="00FC26D0"/>
    <w:rsid w:val="00FC2D6A"/>
    <w:rsid w:val="00FC2E41"/>
    <w:rsid w:val="00FC31D0"/>
    <w:rsid w:val="00FC3797"/>
    <w:rsid w:val="00FC3805"/>
    <w:rsid w:val="00FC40FC"/>
    <w:rsid w:val="00FC4261"/>
    <w:rsid w:val="00FC49CA"/>
    <w:rsid w:val="00FC57A1"/>
    <w:rsid w:val="00FC66CB"/>
    <w:rsid w:val="00FC6F55"/>
    <w:rsid w:val="00FC700A"/>
    <w:rsid w:val="00FC739C"/>
    <w:rsid w:val="00FC74F5"/>
    <w:rsid w:val="00FC77E9"/>
    <w:rsid w:val="00FD0592"/>
    <w:rsid w:val="00FD093F"/>
    <w:rsid w:val="00FD207F"/>
    <w:rsid w:val="00FD277E"/>
    <w:rsid w:val="00FD2DD8"/>
    <w:rsid w:val="00FD3099"/>
    <w:rsid w:val="00FD34FF"/>
    <w:rsid w:val="00FD3530"/>
    <w:rsid w:val="00FD4786"/>
    <w:rsid w:val="00FD4D2A"/>
    <w:rsid w:val="00FD5F1C"/>
    <w:rsid w:val="00FD5FB6"/>
    <w:rsid w:val="00FD627D"/>
    <w:rsid w:val="00FD6358"/>
    <w:rsid w:val="00FD65C4"/>
    <w:rsid w:val="00FD6884"/>
    <w:rsid w:val="00FD6F77"/>
    <w:rsid w:val="00FD7E47"/>
    <w:rsid w:val="00FE02A0"/>
    <w:rsid w:val="00FE02BB"/>
    <w:rsid w:val="00FE07B6"/>
    <w:rsid w:val="00FE0AEB"/>
    <w:rsid w:val="00FE1CE0"/>
    <w:rsid w:val="00FE1FD8"/>
    <w:rsid w:val="00FE2340"/>
    <w:rsid w:val="00FE2381"/>
    <w:rsid w:val="00FE2808"/>
    <w:rsid w:val="00FE2EDF"/>
    <w:rsid w:val="00FE3054"/>
    <w:rsid w:val="00FE4917"/>
    <w:rsid w:val="00FE4FD4"/>
    <w:rsid w:val="00FE508B"/>
    <w:rsid w:val="00FE51D4"/>
    <w:rsid w:val="00FE5719"/>
    <w:rsid w:val="00FE6E38"/>
    <w:rsid w:val="00FE7A7E"/>
    <w:rsid w:val="00FE7C87"/>
    <w:rsid w:val="00FF0B46"/>
    <w:rsid w:val="00FF0CCC"/>
    <w:rsid w:val="00FF175C"/>
    <w:rsid w:val="00FF23F1"/>
    <w:rsid w:val="00FF2544"/>
    <w:rsid w:val="00FF25F5"/>
    <w:rsid w:val="00FF32D7"/>
    <w:rsid w:val="00FF3968"/>
    <w:rsid w:val="00FF43F1"/>
    <w:rsid w:val="00FF43F4"/>
    <w:rsid w:val="00FF43F6"/>
    <w:rsid w:val="00FF446B"/>
    <w:rsid w:val="00FF46C1"/>
    <w:rsid w:val="00FF484C"/>
    <w:rsid w:val="00FF49C1"/>
    <w:rsid w:val="00FF4E85"/>
    <w:rsid w:val="00FF4F30"/>
    <w:rsid w:val="00FF5756"/>
    <w:rsid w:val="00FF5AEA"/>
    <w:rsid w:val="00FF5CD3"/>
    <w:rsid w:val="00FF651B"/>
    <w:rsid w:val="00FF66F6"/>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4CEC12"/>
  <w15:docId w15:val="{0894E285-4993-4E7E-B55A-7FF0AD3A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hAnsi="Georgia"/>
    </w:rPr>
  </w:style>
  <w:style w:type="paragraph" w:styleId="Heading1">
    <w:name w:val="heading 1"/>
    <w:basedOn w:val="Normal"/>
    <w:next w:val="Normal"/>
    <w:link w:val="Heading1Char"/>
    <w:uiPriority w:val="9"/>
    <w:qFormat/>
    <w:rsid w:val="00133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40D1"/>
    <w:pPr>
      <w:keepNext/>
      <w:keepLines/>
      <w:spacing w:before="40" w:after="0" w:line="360" w:lineRule="auto"/>
      <w:outlineLvl w:val="2"/>
    </w:pPr>
    <w:rPr>
      <w:rFonts w:ascii="Cambria" w:eastAsiaTheme="majorEastAsia" w:hAnsi="Cambria" w:cstheme="majorBidi"/>
      <w:color w:val="44546A" w:themeColor="text2"/>
    </w:rPr>
  </w:style>
  <w:style w:type="paragraph" w:styleId="Heading4">
    <w:name w:val="heading 4"/>
    <w:basedOn w:val="Normal"/>
    <w:next w:val="Normal"/>
    <w:link w:val="Heading4Char"/>
    <w:uiPriority w:val="9"/>
    <w:unhideWhenUsed/>
    <w:qFormat/>
    <w:rsid w:val="00080C4F"/>
    <w:pPr>
      <w:keepNext/>
      <w:keepLines/>
      <w:spacing w:before="40" w:after="0"/>
      <w:outlineLvl w:val="3"/>
    </w:pPr>
    <w:rPr>
      <w:rFonts w:asciiTheme="majorHAnsi" w:eastAsiaTheme="majorEastAsia" w:hAnsiTheme="majorHAnsi" w:cstheme="majorHAns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B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3BC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3BC3"/>
    <w:pPr>
      <w:spacing w:after="0" w:line="240" w:lineRule="auto"/>
    </w:pPr>
    <w:rPr>
      <w:rFonts w:eastAsiaTheme="minorEastAsia"/>
    </w:rPr>
  </w:style>
  <w:style w:type="character" w:customStyle="1" w:styleId="NoSpacingChar">
    <w:name w:val="No Spacing Char"/>
    <w:basedOn w:val="DefaultParagraphFont"/>
    <w:link w:val="NoSpacing"/>
    <w:uiPriority w:val="1"/>
    <w:rsid w:val="00133BC3"/>
    <w:rPr>
      <w:rFonts w:eastAsiaTheme="minorEastAsia"/>
    </w:rPr>
  </w:style>
  <w:style w:type="character" w:customStyle="1" w:styleId="Heading3Char">
    <w:name w:val="Heading 3 Char"/>
    <w:basedOn w:val="DefaultParagraphFont"/>
    <w:link w:val="Heading3"/>
    <w:uiPriority w:val="9"/>
    <w:rsid w:val="009140D1"/>
    <w:rPr>
      <w:rFonts w:ascii="Cambria" w:eastAsiaTheme="majorEastAsia" w:hAnsi="Cambria" w:cstheme="majorBidi"/>
      <w:color w:val="44546A" w:themeColor="text2"/>
    </w:rPr>
  </w:style>
  <w:style w:type="paragraph" w:styleId="FootnoteText">
    <w:name w:val="footnote text"/>
    <w:aliases w:val="Текст сноски4,Текст сноски12,Знак Знак Знак Знак Знак Знак Знак12,Знак Знак Знак Знак Знак Знак Знак Знак Знак Знак12,Знак Знак Знак Знак Знак Знак Знак Знак Знак Знак22 Знак Знак,fn"/>
    <w:basedOn w:val="Normal"/>
    <w:link w:val="FootnoteTextChar"/>
    <w:uiPriority w:val="99"/>
    <w:unhideWhenUsed/>
    <w:qFormat/>
    <w:rsid w:val="002B1AB3"/>
    <w:pPr>
      <w:spacing w:after="0" w:line="240" w:lineRule="auto"/>
    </w:pPr>
    <w:rPr>
      <w:sz w:val="20"/>
      <w:szCs w:val="20"/>
    </w:rPr>
  </w:style>
  <w:style w:type="character" w:customStyle="1" w:styleId="FootnoteTextChar">
    <w:name w:val="Footnote Text Char"/>
    <w:aliases w:val="Текст сноски4 Char,Текст сноски12 Char,Знак Знак Знак Знак Знак Знак Знак12 Char,Знак Знак Знак Знак Знак Знак Знак Знак Знак Знак12 Char,Знак Знак Знак Знак Знак Знак Знак Знак Знак Знак22 Знак Знак Char,fn Char"/>
    <w:basedOn w:val="DefaultParagraphFont"/>
    <w:link w:val="FootnoteText"/>
    <w:uiPriority w:val="99"/>
    <w:rsid w:val="002B1AB3"/>
    <w:rPr>
      <w:sz w:val="20"/>
      <w:szCs w:val="20"/>
    </w:rPr>
  </w:style>
  <w:style w:type="character" w:styleId="FootnoteReference">
    <w:name w:val="footnote reference"/>
    <w:aliases w:val="Знак сноски-FN,fr,Used by Word for Help footnote symbols,ftref"/>
    <w:basedOn w:val="DefaultParagraphFont"/>
    <w:uiPriority w:val="99"/>
    <w:unhideWhenUsed/>
    <w:rsid w:val="002B1AB3"/>
    <w:rPr>
      <w:vertAlign w:val="superscript"/>
    </w:rPr>
  </w:style>
  <w:style w:type="character" w:styleId="Hyperlink">
    <w:name w:val="Hyperlink"/>
    <w:basedOn w:val="DefaultParagraphFont"/>
    <w:uiPriority w:val="99"/>
    <w:unhideWhenUsed/>
    <w:rsid w:val="000636BA"/>
    <w:rPr>
      <w:color w:val="0563C1" w:themeColor="hyperlink"/>
      <w:u w:val="single"/>
    </w:rPr>
  </w:style>
  <w:style w:type="paragraph" w:styleId="ListParagraph">
    <w:name w:val="List Paragraph"/>
    <w:aliases w:val="название табл/рис,Table/Figure Heading,Listeafsnit"/>
    <w:basedOn w:val="Normal"/>
    <w:link w:val="ListParagraphChar"/>
    <w:uiPriority w:val="34"/>
    <w:qFormat/>
    <w:rsid w:val="00B06816"/>
    <w:pPr>
      <w:ind w:left="720"/>
      <w:contextualSpacing/>
    </w:pPr>
  </w:style>
  <w:style w:type="character" w:customStyle="1" w:styleId="ListParagraphChar">
    <w:name w:val="List Paragraph Char"/>
    <w:aliases w:val="название табл/рис Char,Table/Figure Heading Char,Listeafsnit Char"/>
    <w:basedOn w:val="DefaultParagraphFont"/>
    <w:link w:val="ListParagraph"/>
    <w:uiPriority w:val="34"/>
    <w:locked/>
    <w:rsid w:val="00B06816"/>
  </w:style>
  <w:style w:type="table" w:styleId="TableGrid">
    <w:name w:val="Table Grid"/>
    <w:basedOn w:val="TableNormal"/>
    <w:uiPriority w:val="39"/>
    <w:rsid w:val="00C6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3500D"/>
    <w:pPr>
      <w:outlineLvl w:val="9"/>
    </w:pPr>
  </w:style>
  <w:style w:type="paragraph" w:styleId="TOC1">
    <w:name w:val="toc 1"/>
    <w:basedOn w:val="Normal"/>
    <w:next w:val="Normal"/>
    <w:autoRedefine/>
    <w:uiPriority w:val="39"/>
    <w:unhideWhenUsed/>
    <w:rsid w:val="0043500D"/>
    <w:pPr>
      <w:spacing w:after="100"/>
    </w:pPr>
  </w:style>
  <w:style w:type="paragraph" w:styleId="TOC2">
    <w:name w:val="toc 2"/>
    <w:basedOn w:val="Normal"/>
    <w:next w:val="Normal"/>
    <w:autoRedefine/>
    <w:uiPriority w:val="39"/>
    <w:unhideWhenUsed/>
    <w:rsid w:val="0043500D"/>
    <w:pPr>
      <w:spacing w:after="100"/>
      <w:ind w:left="220"/>
    </w:pPr>
  </w:style>
  <w:style w:type="paragraph" w:styleId="TOC3">
    <w:name w:val="toc 3"/>
    <w:basedOn w:val="Normal"/>
    <w:next w:val="Normal"/>
    <w:autoRedefine/>
    <w:uiPriority w:val="39"/>
    <w:unhideWhenUsed/>
    <w:rsid w:val="0043500D"/>
    <w:pPr>
      <w:spacing w:after="100"/>
      <w:ind w:left="440"/>
    </w:pPr>
  </w:style>
  <w:style w:type="paragraph" w:styleId="Header">
    <w:name w:val="header"/>
    <w:basedOn w:val="Normal"/>
    <w:link w:val="HeaderChar"/>
    <w:uiPriority w:val="99"/>
    <w:unhideWhenUsed/>
    <w:rsid w:val="00A7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65"/>
  </w:style>
  <w:style w:type="paragraph" w:styleId="Footer">
    <w:name w:val="footer"/>
    <w:basedOn w:val="Normal"/>
    <w:link w:val="FooterChar"/>
    <w:uiPriority w:val="99"/>
    <w:unhideWhenUsed/>
    <w:rsid w:val="00A7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65"/>
  </w:style>
  <w:style w:type="paragraph" w:styleId="BalloonText">
    <w:name w:val="Balloon Text"/>
    <w:basedOn w:val="Normal"/>
    <w:link w:val="BalloonTextChar"/>
    <w:uiPriority w:val="99"/>
    <w:unhideWhenUsed/>
    <w:rsid w:val="0083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33547"/>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E67F40"/>
    <w:rPr>
      <w:sz w:val="20"/>
      <w:szCs w:val="20"/>
    </w:rPr>
  </w:style>
  <w:style w:type="paragraph" w:styleId="CommentSubject">
    <w:name w:val="annotation subject"/>
    <w:basedOn w:val="CommentText"/>
    <w:next w:val="CommentText"/>
    <w:link w:val="CommentSubjectChar"/>
    <w:uiPriority w:val="99"/>
    <w:semiHidden/>
    <w:unhideWhenUsed/>
    <w:rsid w:val="00E67F40"/>
    <w:rPr>
      <w:b/>
      <w:bCs/>
    </w:rPr>
  </w:style>
  <w:style w:type="character" w:customStyle="1" w:styleId="CommentSubjectChar">
    <w:name w:val="Comment Subject Char"/>
    <w:basedOn w:val="CommentTextChar"/>
    <w:link w:val="CommentSubject"/>
    <w:uiPriority w:val="99"/>
    <w:semiHidden/>
    <w:rsid w:val="00E67F40"/>
    <w:rPr>
      <w:b/>
      <w:bCs/>
      <w:sz w:val="20"/>
      <w:szCs w:val="20"/>
    </w:rPr>
  </w:style>
  <w:style w:type="paragraph" w:styleId="Revision">
    <w:name w:val="Revision"/>
    <w:hidden/>
    <w:uiPriority w:val="99"/>
    <w:semiHidden/>
    <w:rsid w:val="00714C2A"/>
    <w:pPr>
      <w:spacing w:after="0" w:line="240" w:lineRule="auto"/>
    </w:pPr>
  </w:style>
  <w:style w:type="table" w:customStyle="1" w:styleId="PlainTable11">
    <w:name w:val="Plain Table 11"/>
    <w:basedOn w:val="TableNormal"/>
    <w:uiPriority w:val="41"/>
    <w:rsid w:val="009638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51317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2">
    <w:name w:val="Plain Table 112"/>
    <w:basedOn w:val="TableNormal"/>
    <w:uiPriority w:val="41"/>
    <w:rsid w:val="00AA4693"/>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uiPriority w:val="41"/>
    <w:rsid w:val="00AA4693"/>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uiPriority w:val="41"/>
    <w:rsid w:val="006C390E"/>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uiPriority w:val="41"/>
    <w:rsid w:val="006C390E"/>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uiPriority w:val="41"/>
    <w:rsid w:val="006C390E"/>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7">
    <w:name w:val="Plain Table 117"/>
    <w:basedOn w:val="TableNormal"/>
    <w:uiPriority w:val="41"/>
    <w:rsid w:val="006C390E"/>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8">
    <w:name w:val="Plain Table 118"/>
    <w:basedOn w:val="TableNormal"/>
    <w:uiPriority w:val="41"/>
    <w:rsid w:val="006C390E"/>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uiPriority w:val="9"/>
    <w:rsid w:val="00080C4F"/>
    <w:rPr>
      <w:rFonts w:asciiTheme="majorHAnsi" w:eastAsiaTheme="majorEastAsia" w:hAnsiTheme="majorHAnsi" w:cstheme="majorHAnsi"/>
      <w:iCs/>
    </w:rPr>
  </w:style>
  <w:style w:type="table" w:customStyle="1" w:styleId="PlainTable119">
    <w:name w:val="Plain Table 119"/>
    <w:basedOn w:val="TableNormal"/>
    <w:uiPriority w:val="41"/>
    <w:rsid w:val="00FC74F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0">
    <w:name w:val="Plain Table 1110"/>
    <w:basedOn w:val="TableNormal"/>
    <w:uiPriority w:val="41"/>
    <w:rsid w:val="00FC74F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1">
    <w:name w:val="Plain Table 1111"/>
    <w:basedOn w:val="TableNormal"/>
    <w:uiPriority w:val="41"/>
    <w:rsid w:val="00FC74F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2">
    <w:name w:val="Plain Table 1112"/>
    <w:basedOn w:val="TableNormal"/>
    <w:uiPriority w:val="41"/>
    <w:rsid w:val="00FC74F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3">
    <w:name w:val="Plain Table 1113"/>
    <w:basedOn w:val="TableNormal"/>
    <w:uiPriority w:val="41"/>
    <w:rsid w:val="00FC74F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4">
    <w:name w:val="Plain Table 1114"/>
    <w:basedOn w:val="TableNormal"/>
    <w:uiPriority w:val="41"/>
    <w:rsid w:val="00FC74F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5">
    <w:name w:val="Plain Table 1115"/>
    <w:basedOn w:val="TableNormal"/>
    <w:uiPriority w:val="41"/>
    <w:rsid w:val="007348F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6">
    <w:name w:val="Plain Table 1116"/>
    <w:basedOn w:val="TableNormal"/>
    <w:uiPriority w:val="41"/>
    <w:rsid w:val="007348F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7">
    <w:name w:val="Plain Table 1117"/>
    <w:basedOn w:val="TableNormal"/>
    <w:uiPriority w:val="41"/>
    <w:rsid w:val="003321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27CBB"/>
    <w:rPr>
      <w:rFonts w:ascii="Times New Roman" w:hAnsi="Times New Roman" w:cs="Times New Roman"/>
      <w:sz w:val="24"/>
      <w:szCs w:val="24"/>
    </w:rPr>
  </w:style>
  <w:style w:type="table" w:customStyle="1" w:styleId="PlainTable21">
    <w:name w:val="Plain Table 21"/>
    <w:basedOn w:val="TableNormal"/>
    <w:uiPriority w:val="42"/>
    <w:rsid w:val="00052F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ookTitle">
    <w:name w:val="Book Title"/>
    <w:basedOn w:val="DefaultParagraphFont"/>
    <w:uiPriority w:val="33"/>
    <w:qFormat/>
    <w:rsid w:val="00EA3226"/>
    <w:rPr>
      <w:rFonts w:asciiTheme="minorHAnsi" w:eastAsiaTheme="minorEastAsia" w:hAnsiTheme="minorHAnsi" w:cstheme="minorBidi"/>
      <w:b/>
      <w:bCs/>
      <w:i/>
      <w:iCs/>
      <w:caps w:val="0"/>
      <w:smallCaps w:val="0"/>
      <w:color w:val="auto"/>
      <w:spacing w:val="10"/>
      <w:w w:val="100"/>
      <w:sz w:val="20"/>
      <w:szCs w:val="20"/>
    </w:rPr>
  </w:style>
  <w:style w:type="paragraph" w:customStyle="1" w:styleId="p1">
    <w:name w:val="p1"/>
    <w:basedOn w:val="Normal"/>
    <w:rsid w:val="002A3103"/>
    <w:pPr>
      <w:spacing w:after="0" w:line="240" w:lineRule="auto"/>
    </w:pPr>
    <w:rPr>
      <w:rFonts w:ascii="Helvetica" w:hAnsi="Helvetica" w:cs="Times New Roman"/>
      <w:sz w:val="18"/>
      <w:szCs w:val="18"/>
    </w:rPr>
  </w:style>
  <w:style w:type="paragraph" w:customStyle="1" w:styleId="ReportTitle">
    <w:name w:val="Report Title"/>
    <w:qFormat/>
    <w:rsid w:val="00B262F8"/>
    <w:pPr>
      <w:spacing w:before="120" w:after="0" w:line="792" w:lineRule="exact"/>
      <w:jc w:val="both"/>
    </w:pPr>
    <w:rPr>
      <w:rFonts w:ascii="Arial" w:hAnsi="Arial"/>
      <w:sz w:val="72"/>
    </w:rPr>
  </w:style>
  <w:style w:type="paragraph" w:customStyle="1" w:styleId="GraySubtitle">
    <w:name w:val="Gray Subtitle"/>
    <w:qFormat/>
    <w:rsid w:val="00B262F8"/>
    <w:pPr>
      <w:spacing w:before="120" w:after="80" w:line="600" w:lineRule="exact"/>
      <w:jc w:val="both"/>
    </w:pPr>
    <w:rPr>
      <w:rFonts w:ascii="Arial" w:hAnsi="Arial"/>
      <w:color w:val="7F7F7F" w:themeColor="text1" w:themeTint="80"/>
      <w:sz w:val="48"/>
      <w:szCs w:val="48"/>
    </w:rPr>
  </w:style>
  <w:style w:type="paragraph" w:customStyle="1" w:styleId="FPText">
    <w:name w:val="FP Text"/>
    <w:qFormat/>
    <w:rsid w:val="00B262F8"/>
    <w:pPr>
      <w:spacing w:before="80" w:after="0" w:line="280" w:lineRule="exact"/>
      <w:contextualSpacing/>
      <w:jc w:val="both"/>
    </w:pPr>
    <w:rPr>
      <w:rFonts w:ascii="Arial" w:hAnsi="Arial"/>
      <w:color w:val="7F7F7F" w:themeColor="text1" w:themeTint="80"/>
    </w:rPr>
  </w:style>
  <w:style w:type="paragraph" w:customStyle="1" w:styleId="FPTextSmall">
    <w:name w:val="FP Text Small"/>
    <w:qFormat/>
    <w:rsid w:val="00B262F8"/>
    <w:pPr>
      <w:spacing w:before="600" w:after="0" w:line="240" w:lineRule="exact"/>
      <w:contextualSpacing/>
      <w:jc w:val="both"/>
    </w:pPr>
    <w:rPr>
      <w:rFonts w:ascii="Arial" w:hAnsi="Arial"/>
      <w:color w:val="7F7F7F" w:themeColor="text1" w:themeTint="80"/>
      <w:sz w:val="18"/>
    </w:rPr>
  </w:style>
  <w:style w:type="character" w:styleId="IntenseEmphasis">
    <w:name w:val="Intense Emphasis"/>
    <w:basedOn w:val="DefaultParagraphFont"/>
    <w:uiPriority w:val="21"/>
    <w:qFormat/>
    <w:rsid w:val="00B262F8"/>
    <w:rPr>
      <w:b/>
      <w:bCs/>
      <w:i/>
      <w:iCs/>
      <w:color w:val="4472C4" w:themeColor="accent1"/>
    </w:rPr>
  </w:style>
  <w:style w:type="table" w:styleId="LightList-Accent1">
    <w:name w:val="Light List Accent 1"/>
    <w:basedOn w:val="TableNormal"/>
    <w:uiPriority w:val="61"/>
    <w:rsid w:val="00431245"/>
    <w:pPr>
      <w:spacing w:after="0" w:line="240" w:lineRule="auto"/>
      <w:jc w:val="both"/>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commentcontentpara">
    <w:name w:val="commentcontentpara"/>
    <w:basedOn w:val="Normal"/>
    <w:rsid w:val="00B72CA0"/>
    <w:pPr>
      <w:spacing w:before="100" w:beforeAutospacing="1" w:after="100" w:afterAutospacing="1" w:line="240" w:lineRule="auto"/>
    </w:pPr>
    <w:rPr>
      <w:rFonts w:ascii="Times" w:hAnsi="Times"/>
      <w:sz w:val="20"/>
      <w:szCs w:val="20"/>
    </w:rPr>
  </w:style>
  <w:style w:type="table" w:styleId="LightShading-Accent3">
    <w:name w:val="Light Shading Accent 3"/>
    <w:basedOn w:val="TableNormal"/>
    <w:uiPriority w:val="60"/>
    <w:rsid w:val="007E7B55"/>
    <w:pPr>
      <w:spacing w:after="0" w:line="240" w:lineRule="auto"/>
      <w:jc w:val="both"/>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Quote">
    <w:name w:val="Quote"/>
    <w:basedOn w:val="Normal"/>
    <w:next w:val="Normal"/>
    <w:link w:val="QuoteChar"/>
    <w:uiPriority w:val="29"/>
    <w:qFormat/>
    <w:rsid w:val="00457B8D"/>
    <w:pPr>
      <w:spacing w:before="120" w:after="0" w:line="264" w:lineRule="auto"/>
      <w:jc w:val="both"/>
    </w:pPr>
    <w:rPr>
      <w:i/>
      <w:iCs/>
      <w:color w:val="000000" w:themeColor="text1"/>
    </w:rPr>
  </w:style>
  <w:style w:type="character" w:customStyle="1" w:styleId="QuoteChar">
    <w:name w:val="Quote Char"/>
    <w:basedOn w:val="DefaultParagraphFont"/>
    <w:link w:val="Quote"/>
    <w:uiPriority w:val="29"/>
    <w:rsid w:val="00457B8D"/>
    <w:rPr>
      <w:rFonts w:ascii="Georgia" w:hAnsi="Georgia"/>
      <w:i/>
      <w:iCs/>
      <w:color w:val="000000" w:themeColor="text1"/>
    </w:rPr>
  </w:style>
  <w:style w:type="paragraph" w:customStyle="1" w:styleId="Numberedbody">
    <w:name w:val="Numbered body"/>
    <w:qFormat/>
    <w:rsid w:val="00430B4B"/>
    <w:pPr>
      <w:tabs>
        <w:tab w:val="left" w:pos="425"/>
      </w:tabs>
      <w:spacing w:before="120" w:after="0" w:line="260" w:lineRule="exact"/>
      <w:ind w:left="284" w:hanging="284"/>
      <w:contextualSpacing/>
      <w:jc w:val="both"/>
    </w:pPr>
    <w:rPr>
      <w:rFonts w:ascii="Georgia" w:eastAsiaTheme="majorEastAsia" w:hAnsi="Georgia" w:cstheme="majorBidi"/>
      <w:bCs/>
      <w:color w:val="404040" w:themeColor="text1" w:themeTint="BF"/>
      <w:sz w:val="20"/>
      <w:szCs w:val="26"/>
    </w:rPr>
  </w:style>
  <w:style w:type="paragraph" w:customStyle="1" w:styleId="Default">
    <w:name w:val="Default"/>
    <w:rsid w:val="00C91051"/>
    <w:pPr>
      <w:autoSpaceDE w:val="0"/>
      <w:autoSpaceDN w:val="0"/>
      <w:adjustRightInd w:val="0"/>
      <w:spacing w:after="0" w:line="240" w:lineRule="auto"/>
    </w:pPr>
    <w:rPr>
      <w:rFonts w:ascii="Franklin Gothic Book" w:hAnsi="Franklin Gothic Book" w:cs="Franklin Gothic Book"/>
      <w:color w:val="000000"/>
      <w:sz w:val="24"/>
      <w:szCs w:val="24"/>
    </w:rPr>
  </w:style>
  <w:style w:type="numbering" w:customStyle="1" w:styleId="NoList1">
    <w:name w:val="No List1"/>
    <w:next w:val="NoList"/>
    <w:uiPriority w:val="99"/>
    <w:semiHidden/>
    <w:unhideWhenUsed/>
    <w:rsid w:val="00F41AA8"/>
  </w:style>
  <w:style w:type="table" w:customStyle="1" w:styleId="TableGrid1">
    <w:name w:val="Table Grid1"/>
    <w:basedOn w:val="TableNormal"/>
    <w:next w:val="TableGrid"/>
    <w:uiPriority w:val="39"/>
    <w:rsid w:val="00F4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8">
    <w:name w:val="Plain Table 1118"/>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9">
    <w:name w:val="Plain Table 1119"/>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21">
    <w:name w:val="Plain Table 1121"/>
    <w:basedOn w:val="TableNormal"/>
    <w:uiPriority w:val="41"/>
    <w:rsid w:val="00F41AA8"/>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1">
    <w:name w:val="Plain Table 1131"/>
    <w:basedOn w:val="TableNormal"/>
    <w:uiPriority w:val="41"/>
    <w:rsid w:val="00F41AA8"/>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1">
    <w:name w:val="Plain Table 1141"/>
    <w:basedOn w:val="TableNormal"/>
    <w:uiPriority w:val="41"/>
    <w:rsid w:val="00F41AA8"/>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1">
    <w:name w:val="Plain Table 1151"/>
    <w:basedOn w:val="TableNormal"/>
    <w:uiPriority w:val="41"/>
    <w:rsid w:val="00F41AA8"/>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1">
    <w:name w:val="Plain Table 1161"/>
    <w:basedOn w:val="TableNormal"/>
    <w:uiPriority w:val="41"/>
    <w:rsid w:val="00F41AA8"/>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71">
    <w:name w:val="Plain Table 1171"/>
    <w:basedOn w:val="TableNormal"/>
    <w:uiPriority w:val="41"/>
    <w:rsid w:val="00F41AA8"/>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81">
    <w:name w:val="Plain Table 1181"/>
    <w:basedOn w:val="TableNormal"/>
    <w:uiPriority w:val="41"/>
    <w:rsid w:val="00F41AA8"/>
    <w:pPr>
      <w:spacing w:after="0" w:line="240" w:lineRule="auto"/>
    </w:pPr>
    <w:rPr>
      <w:rFonts w:ascii="Cambria" w:eastAsia="Cambria" w:hAnsi="Cambria" w:cs="Mang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91">
    <w:name w:val="Plain Table 119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01">
    <w:name w:val="Plain Table 1110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11">
    <w:name w:val="Plain Table 1111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21">
    <w:name w:val="Plain Table 1112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31">
    <w:name w:val="Plain Table 1113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41">
    <w:name w:val="Plain Table 1114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51">
    <w:name w:val="Plain Table 1115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61">
    <w:name w:val="Plain Table 1116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71">
    <w:name w:val="Plain Table 11171"/>
    <w:basedOn w:val="TableNormal"/>
    <w:uiPriority w:val="41"/>
    <w:rsid w:val="00F41AA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uiPriority w:val="42"/>
    <w:rsid w:val="00F41AA8"/>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List-Accent11">
    <w:name w:val="Light List - Accent 11"/>
    <w:basedOn w:val="TableNormal"/>
    <w:next w:val="LightList-Accent1"/>
    <w:uiPriority w:val="61"/>
    <w:rsid w:val="00F41AA8"/>
    <w:pPr>
      <w:spacing w:after="0" w:line="240" w:lineRule="auto"/>
      <w:jc w:val="both"/>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Shading-Accent31">
    <w:name w:val="Light Shading - Accent 31"/>
    <w:basedOn w:val="TableNormal"/>
    <w:next w:val="LightShading-Accent3"/>
    <w:uiPriority w:val="60"/>
    <w:rsid w:val="00F41AA8"/>
    <w:pPr>
      <w:spacing w:after="0" w:line="240" w:lineRule="auto"/>
      <w:jc w:val="both"/>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st">
    <w:name w:val="st"/>
    <w:basedOn w:val="DefaultParagraphFont"/>
    <w:rsid w:val="00F41AA8"/>
  </w:style>
  <w:style w:type="character" w:styleId="Emphasis">
    <w:name w:val="Emphasis"/>
    <w:basedOn w:val="DefaultParagraphFont"/>
    <w:uiPriority w:val="20"/>
    <w:qFormat/>
    <w:rsid w:val="00F41AA8"/>
    <w:rPr>
      <w:i/>
      <w:iCs/>
    </w:rPr>
  </w:style>
  <w:style w:type="character" w:customStyle="1" w:styleId="A4">
    <w:name w:val="A4"/>
    <w:uiPriority w:val="99"/>
    <w:rsid w:val="00C41B4D"/>
    <w:rPr>
      <w:rFonts w:cs="Helvetica 45 Light"/>
      <w:color w:val="000000"/>
      <w:sz w:val="20"/>
      <w:szCs w:val="20"/>
    </w:rPr>
  </w:style>
  <w:style w:type="character" w:customStyle="1" w:styleId="UnresolvedMention1">
    <w:name w:val="Unresolved Mention1"/>
    <w:basedOn w:val="DefaultParagraphFont"/>
    <w:uiPriority w:val="99"/>
    <w:semiHidden/>
    <w:unhideWhenUsed/>
    <w:rsid w:val="00200B9C"/>
    <w:rPr>
      <w:color w:val="808080"/>
      <w:shd w:val="clear" w:color="auto" w:fill="E6E6E6"/>
    </w:rPr>
  </w:style>
  <w:style w:type="character" w:customStyle="1" w:styleId="UnresolvedMention2">
    <w:name w:val="Unresolved Mention2"/>
    <w:basedOn w:val="DefaultParagraphFont"/>
    <w:uiPriority w:val="99"/>
    <w:semiHidden/>
    <w:unhideWhenUsed/>
    <w:rsid w:val="00F81A23"/>
    <w:rPr>
      <w:color w:val="808080"/>
      <w:shd w:val="clear" w:color="auto" w:fill="E6E6E6"/>
    </w:rPr>
  </w:style>
  <w:style w:type="paragraph" w:customStyle="1" w:styleId="BodyA">
    <w:name w:val="Body A"/>
    <w:basedOn w:val="Normal"/>
    <w:rsid w:val="008A64BD"/>
    <w:pPr>
      <w:spacing w:after="0" w:line="360" w:lineRule="auto"/>
      <w:contextualSpacing/>
    </w:pPr>
    <w:rPr>
      <w:rFonts w:ascii="Candara" w:hAnsi="Candara" w:cs="Times New Roman"/>
      <w:color w:val="000000"/>
    </w:rPr>
  </w:style>
  <w:style w:type="character" w:customStyle="1" w:styleId="None">
    <w:name w:val="None"/>
    <w:basedOn w:val="DefaultParagraphFont"/>
    <w:rsid w:val="008A64BD"/>
  </w:style>
  <w:style w:type="numbering" w:customStyle="1" w:styleId="ImportedStyle57">
    <w:name w:val="Imported Style 57"/>
    <w:rsid w:val="008A64BD"/>
    <w:pPr>
      <w:numPr>
        <w:numId w:val="34"/>
      </w:numPr>
    </w:pPr>
  </w:style>
  <w:style w:type="numbering" w:customStyle="1" w:styleId="ImportedStyle58">
    <w:name w:val="Imported Style 58"/>
    <w:rsid w:val="008A64BD"/>
    <w:pPr>
      <w:numPr>
        <w:numId w:val="35"/>
      </w:numPr>
    </w:pPr>
  </w:style>
  <w:style w:type="character" w:styleId="UnresolvedMention">
    <w:name w:val="Unresolved Mention"/>
    <w:basedOn w:val="DefaultParagraphFont"/>
    <w:uiPriority w:val="99"/>
    <w:semiHidden/>
    <w:unhideWhenUsed/>
    <w:rsid w:val="009B1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438">
      <w:bodyDiv w:val="1"/>
      <w:marLeft w:val="0"/>
      <w:marRight w:val="0"/>
      <w:marTop w:val="0"/>
      <w:marBottom w:val="0"/>
      <w:divBdr>
        <w:top w:val="none" w:sz="0" w:space="0" w:color="auto"/>
        <w:left w:val="none" w:sz="0" w:space="0" w:color="auto"/>
        <w:bottom w:val="none" w:sz="0" w:space="0" w:color="auto"/>
        <w:right w:val="none" w:sz="0" w:space="0" w:color="auto"/>
      </w:divBdr>
    </w:div>
    <w:div w:id="24910533">
      <w:bodyDiv w:val="1"/>
      <w:marLeft w:val="0"/>
      <w:marRight w:val="0"/>
      <w:marTop w:val="0"/>
      <w:marBottom w:val="0"/>
      <w:divBdr>
        <w:top w:val="none" w:sz="0" w:space="0" w:color="auto"/>
        <w:left w:val="none" w:sz="0" w:space="0" w:color="auto"/>
        <w:bottom w:val="none" w:sz="0" w:space="0" w:color="auto"/>
        <w:right w:val="none" w:sz="0" w:space="0" w:color="auto"/>
      </w:divBdr>
    </w:div>
    <w:div w:id="100884159">
      <w:bodyDiv w:val="1"/>
      <w:marLeft w:val="0"/>
      <w:marRight w:val="0"/>
      <w:marTop w:val="0"/>
      <w:marBottom w:val="0"/>
      <w:divBdr>
        <w:top w:val="none" w:sz="0" w:space="0" w:color="auto"/>
        <w:left w:val="none" w:sz="0" w:space="0" w:color="auto"/>
        <w:bottom w:val="none" w:sz="0" w:space="0" w:color="auto"/>
        <w:right w:val="none" w:sz="0" w:space="0" w:color="auto"/>
      </w:divBdr>
    </w:div>
    <w:div w:id="119496624">
      <w:bodyDiv w:val="1"/>
      <w:marLeft w:val="0"/>
      <w:marRight w:val="0"/>
      <w:marTop w:val="0"/>
      <w:marBottom w:val="0"/>
      <w:divBdr>
        <w:top w:val="none" w:sz="0" w:space="0" w:color="auto"/>
        <w:left w:val="none" w:sz="0" w:space="0" w:color="auto"/>
        <w:bottom w:val="none" w:sz="0" w:space="0" w:color="auto"/>
        <w:right w:val="none" w:sz="0" w:space="0" w:color="auto"/>
      </w:divBdr>
    </w:div>
    <w:div w:id="163713684">
      <w:bodyDiv w:val="1"/>
      <w:marLeft w:val="0"/>
      <w:marRight w:val="0"/>
      <w:marTop w:val="0"/>
      <w:marBottom w:val="0"/>
      <w:divBdr>
        <w:top w:val="none" w:sz="0" w:space="0" w:color="auto"/>
        <w:left w:val="none" w:sz="0" w:space="0" w:color="auto"/>
        <w:bottom w:val="none" w:sz="0" w:space="0" w:color="auto"/>
        <w:right w:val="none" w:sz="0" w:space="0" w:color="auto"/>
      </w:divBdr>
    </w:div>
    <w:div w:id="181600912">
      <w:bodyDiv w:val="1"/>
      <w:marLeft w:val="0"/>
      <w:marRight w:val="0"/>
      <w:marTop w:val="0"/>
      <w:marBottom w:val="0"/>
      <w:divBdr>
        <w:top w:val="none" w:sz="0" w:space="0" w:color="auto"/>
        <w:left w:val="none" w:sz="0" w:space="0" w:color="auto"/>
        <w:bottom w:val="none" w:sz="0" w:space="0" w:color="auto"/>
        <w:right w:val="none" w:sz="0" w:space="0" w:color="auto"/>
      </w:divBdr>
      <w:divsChild>
        <w:div w:id="435100171">
          <w:marLeft w:val="0"/>
          <w:marRight w:val="0"/>
          <w:marTop w:val="0"/>
          <w:marBottom w:val="0"/>
          <w:divBdr>
            <w:top w:val="none" w:sz="0" w:space="0" w:color="auto"/>
            <w:left w:val="none" w:sz="0" w:space="0" w:color="auto"/>
            <w:bottom w:val="none" w:sz="0" w:space="0" w:color="auto"/>
            <w:right w:val="none" w:sz="0" w:space="0" w:color="auto"/>
          </w:divBdr>
        </w:div>
        <w:div w:id="899442997">
          <w:marLeft w:val="0"/>
          <w:marRight w:val="0"/>
          <w:marTop w:val="0"/>
          <w:marBottom w:val="0"/>
          <w:divBdr>
            <w:top w:val="none" w:sz="0" w:space="0" w:color="auto"/>
            <w:left w:val="none" w:sz="0" w:space="0" w:color="auto"/>
            <w:bottom w:val="none" w:sz="0" w:space="0" w:color="auto"/>
            <w:right w:val="none" w:sz="0" w:space="0" w:color="auto"/>
          </w:divBdr>
        </w:div>
        <w:div w:id="977489268">
          <w:marLeft w:val="0"/>
          <w:marRight w:val="0"/>
          <w:marTop w:val="0"/>
          <w:marBottom w:val="0"/>
          <w:divBdr>
            <w:top w:val="none" w:sz="0" w:space="0" w:color="auto"/>
            <w:left w:val="none" w:sz="0" w:space="0" w:color="auto"/>
            <w:bottom w:val="none" w:sz="0" w:space="0" w:color="auto"/>
            <w:right w:val="none" w:sz="0" w:space="0" w:color="auto"/>
          </w:divBdr>
        </w:div>
      </w:divsChild>
    </w:div>
    <w:div w:id="339506814">
      <w:bodyDiv w:val="1"/>
      <w:marLeft w:val="0"/>
      <w:marRight w:val="0"/>
      <w:marTop w:val="0"/>
      <w:marBottom w:val="0"/>
      <w:divBdr>
        <w:top w:val="none" w:sz="0" w:space="0" w:color="auto"/>
        <w:left w:val="none" w:sz="0" w:space="0" w:color="auto"/>
        <w:bottom w:val="none" w:sz="0" w:space="0" w:color="auto"/>
        <w:right w:val="none" w:sz="0" w:space="0" w:color="auto"/>
      </w:divBdr>
    </w:div>
    <w:div w:id="482695408">
      <w:bodyDiv w:val="1"/>
      <w:marLeft w:val="0"/>
      <w:marRight w:val="0"/>
      <w:marTop w:val="0"/>
      <w:marBottom w:val="0"/>
      <w:divBdr>
        <w:top w:val="none" w:sz="0" w:space="0" w:color="auto"/>
        <w:left w:val="none" w:sz="0" w:space="0" w:color="auto"/>
        <w:bottom w:val="none" w:sz="0" w:space="0" w:color="auto"/>
        <w:right w:val="none" w:sz="0" w:space="0" w:color="auto"/>
      </w:divBdr>
    </w:div>
    <w:div w:id="617107013">
      <w:bodyDiv w:val="1"/>
      <w:marLeft w:val="0"/>
      <w:marRight w:val="0"/>
      <w:marTop w:val="0"/>
      <w:marBottom w:val="0"/>
      <w:divBdr>
        <w:top w:val="none" w:sz="0" w:space="0" w:color="auto"/>
        <w:left w:val="none" w:sz="0" w:space="0" w:color="auto"/>
        <w:bottom w:val="none" w:sz="0" w:space="0" w:color="auto"/>
        <w:right w:val="none" w:sz="0" w:space="0" w:color="auto"/>
      </w:divBdr>
    </w:div>
    <w:div w:id="636256239">
      <w:bodyDiv w:val="1"/>
      <w:marLeft w:val="0"/>
      <w:marRight w:val="0"/>
      <w:marTop w:val="0"/>
      <w:marBottom w:val="0"/>
      <w:divBdr>
        <w:top w:val="none" w:sz="0" w:space="0" w:color="auto"/>
        <w:left w:val="none" w:sz="0" w:space="0" w:color="auto"/>
        <w:bottom w:val="none" w:sz="0" w:space="0" w:color="auto"/>
        <w:right w:val="none" w:sz="0" w:space="0" w:color="auto"/>
      </w:divBdr>
    </w:div>
    <w:div w:id="701440049">
      <w:bodyDiv w:val="1"/>
      <w:marLeft w:val="0"/>
      <w:marRight w:val="0"/>
      <w:marTop w:val="0"/>
      <w:marBottom w:val="0"/>
      <w:divBdr>
        <w:top w:val="none" w:sz="0" w:space="0" w:color="auto"/>
        <w:left w:val="none" w:sz="0" w:space="0" w:color="auto"/>
        <w:bottom w:val="none" w:sz="0" w:space="0" w:color="auto"/>
        <w:right w:val="none" w:sz="0" w:space="0" w:color="auto"/>
      </w:divBdr>
    </w:div>
    <w:div w:id="722751561">
      <w:bodyDiv w:val="1"/>
      <w:marLeft w:val="0"/>
      <w:marRight w:val="0"/>
      <w:marTop w:val="0"/>
      <w:marBottom w:val="0"/>
      <w:divBdr>
        <w:top w:val="none" w:sz="0" w:space="0" w:color="auto"/>
        <w:left w:val="none" w:sz="0" w:space="0" w:color="auto"/>
        <w:bottom w:val="none" w:sz="0" w:space="0" w:color="auto"/>
        <w:right w:val="none" w:sz="0" w:space="0" w:color="auto"/>
      </w:divBdr>
    </w:div>
    <w:div w:id="728844136">
      <w:bodyDiv w:val="1"/>
      <w:marLeft w:val="0"/>
      <w:marRight w:val="0"/>
      <w:marTop w:val="0"/>
      <w:marBottom w:val="0"/>
      <w:divBdr>
        <w:top w:val="none" w:sz="0" w:space="0" w:color="auto"/>
        <w:left w:val="none" w:sz="0" w:space="0" w:color="auto"/>
        <w:bottom w:val="none" w:sz="0" w:space="0" w:color="auto"/>
        <w:right w:val="none" w:sz="0" w:space="0" w:color="auto"/>
      </w:divBdr>
    </w:div>
    <w:div w:id="859514422">
      <w:bodyDiv w:val="1"/>
      <w:marLeft w:val="0"/>
      <w:marRight w:val="0"/>
      <w:marTop w:val="0"/>
      <w:marBottom w:val="0"/>
      <w:divBdr>
        <w:top w:val="none" w:sz="0" w:space="0" w:color="auto"/>
        <w:left w:val="none" w:sz="0" w:space="0" w:color="auto"/>
        <w:bottom w:val="none" w:sz="0" w:space="0" w:color="auto"/>
        <w:right w:val="none" w:sz="0" w:space="0" w:color="auto"/>
      </w:divBdr>
    </w:div>
    <w:div w:id="1000427109">
      <w:bodyDiv w:val="1"/>
      <w:marLeft w:val="0"/>
      <w:marRight w:val="0"/>
      <w:marTop w:val="0"/>
      <w:marBottom w:val="0"/>
      <w:divBdr>
        <w:top w:val="none" w:sz="0" w:space="0" w:color="auto"/>
        <w:left w:val="none" w:sz="0" w:space="0" w:color="auto"/>
        <w:bottom w:val="none" w:sz="0" w:space="0" w:color="auto"/>
        <w:right w:val="none" w:sz="0" w:space="0" w:color="auto"/>
      </w:divBdr>
    </w:div>
    <w:div w:id="1094206213">
      <w:bodyDiv w:val="1"/>
      <w:marLeft w:val="0"/>
      <w:marRight w:val="0"/>
      <w:marTop w:val="0"/>
      <w:marBottom w:val="0"/>
      <w:divBdr>
        <w:top w:val="none" w:sz="0" w:space="0" w:color="auto"/>
        <w:left w:val="none" w:sz="0" w:space="0" w:color="auto"/>
        <w:bottom w:val="none" w:sz="0" w:space="0" w:color="auto"/>
        <w:right w:val="none" w:sz="0" w:space="0" w:color="auto"/>
      </w:divBdr>
    </w:div>
    <w:div w:id="1170293230">
      <w:bodyDiv w:val="1"/>
      <w:marLeft w:val="0"/>
      <w:marRight w:val="0"/>
      <w:marTop w:val="0"/>
      <w:marBottom w:val="0"/>
      <w:divBdr>
        <w:top w:val="none" w:sz="0" w:space="0" w:color="auto"/>
        <w:left w:val="none" w:sz="0" w:space="0" w:color="auto"/>
        <w:bottom w:val="none" w:sz="0" w:space="0" w:color="auto"/>
        <w:right w:val="none" w:sz="0" w:space="0" w:color="auto"/>
      </w:divBdr>
    </w:div>
    <w:div w:id="1175922432">
      <w:bodyDiv w:val="1"/>
      <w:marLeft w:val="0"/>
      <w:marRight w:val="0"/>
      <w:marTop w:val="0"/>
      <w:marBottom w:val="0"/>
      <w:divBdr>
        <w:top w:val="none" w:sz="0" w:space="0" w:color="auto"/>
        <w:left w:val="none" w:sz="0" w:space="0" w:color="auto"/>
        <w:bottom w:val="none" w:sz="0" w:space="0" w:color="auto"/>
        <w:right w:val="none" w:sz="0" w:space="0" w:color="auto"/>
      </w:divBdr>
    </w:div>
    <w:div w:id="1180461175">
      <w:bodyDiv w:val="1"/>
      <w:marLeft w:val="0"/>
      <w:marRight w:val="0"/>
      <w:marTop w:val="0"/>
      <w:marBottom w:val="0"/>
      <w:divBdr>
        <w:top w:val="none" w:sz="0" w:space="0" w:color="auto"/>
        <w:left w:val="none" w:sz="0" w:space="0" w:color="auto"/>
        <w:bottom w:val="none" w:sz="0" w:space="0" w:color="auto"/>
        <w:right w:val="none" w:sz="0" w:space="0" w:color="auto"/>
      </w:divBdr>
    </w:div>
    <w:div w:id="1244336987">
      <w:bodyDiv w:val="1"/>
      <w:marLeft w:val="0"/>
      <w:marRight w:val="0"/>
      <w:marTop w:val="0"/>
      <w:marBottom w:val="0"/>
      <w:divBdr>
        <w:top w:val="none" w:sz="0" w:space="0" w:color="auto"/>
        <w:left w:val="none" w:sz="0" w:space="0" w:color="auto"/>
        <w:bottom w:val="none" w:sz="0" w:space="0" w:color="auto"/>
        <w:right w:val="none" w:sz="0" w:space="0" w:color="auto"/>
      </w:divBdr>
    </w:div>
    <w:div w:id="1291133673">
      <w:bodyDiv w:val="1"/>
      <w:marLeft w:val="0"/>
      <w:marRight w:val="0"/>
      <w:marTop w:val="0"/>
      <w:marBottom w:val="0"/>
      <w:divBdr>
        <w:top w:val="none" w:sz="0" w:space="0" w:color="auto"/>
        <w:left w:val="none" w:sz="0" w:space="0" w:color="auto"/>
        <w:bottom w:val="none" w:sz="0" w:space="0" w:color="auto"/>
        <w:right w:val="none" w:sz="0" w:space="0" w:color="auto"/>
      </w:divBdr>
    </w:div>
    <w:div w:id="1337460683">
      <w:bodyDiv w:val="1"/>
      <w:marLeft w:val="0"/>
      <w:marRight w:val="0"/>
      <w:marTop w:val="0"/>
      <w:marBottom w:val="0"/>
      <w:divBdr>
        <w:top w:val="none" w:sz="0" w:space="0" w:color="auto"/>
        <w:left w:val="none" w:sz="0" w:space="0" w:color="auto"/>
        <w:bottom w:val="none" w:sz="0" w:space="0" w:color="auto"/>
        <w:right w:val="none" w:sz="0" w:space="0" w:color="auto"/>
      </w:divBdr>
    </w:div>
    <w:div w:id="1348288477">
      <w:bodyDiv w:val="1"/>
      <w:marLeft w:val="0"/>
      <w:marRight w:val="0"/>
      <w:marTop w:val="0"/>
      <w:marBottom w:val="0"/>
      <w:divBdr>
        <w:top w:val="none" w:sz="0" w:space="0" w:color="auto"/>
        <w:left w:val="none" w:sz="0" w:space="0" w:color="auto"/>
        <w:bottom w:val="none" w:sz="0" w:space="0" w:color="auto"/>
        <w:right w:val="none" w:sz="0" w:space="0" w:color="auto"/>
      </w:divBdr>
    </w:div>
    <w:div w:id="1460562642">
      <w:bodyDiv w:val="1"/>
      <w:marLeft w:val="0"/>
      <w:marRight w:val="0"/>
      <w:marTop w:val="0"/>
      <w:marBottom w:val="0"/>
      <w:divBdr>
        <w:top w:val="none" w:sz="0" w:space="0" w:color="auto"/>
        <w:left w:val="none" w:sz="0" w:space="0" w:color="auto"/>
        <w:bottom w:val="none" w:sz="0" w:space="0" w:color="auto"/>
        <w:right w:val="none" w:sz="0" w:space="0" w:color="auto"/>
      </w:divBdr>
    </w:div>
    <w:div w:id="1468280553">
      <w:bodyDiv w:val="1"/>
      <w:marLeft w:val="0"/>
      <w:marRight w:val="0"/>
      <w:marTop w:val="0"/>
      <w:marBottom w:val="0"/>
      <w:divBdr>
        <w:top w:val="none" w:sz="0" w:space="0" w:color="auto"/>
        <w:left w:val="none" w:sz="0" w:space="0" w:color="auto"/>
        <w:bottom w:val="none" w:sz="0" w:space="0" w:color="auto"/>
        <w:right w:val="none" w:sz="0" w:space="0" w:color="auto"/>
      </w:divBdr>
    </w:div>
    <w:div w:id="1520697402">
      <w:bodyDiv w:val="1"/>
      <w:marLeft w:val="0"/>
      <w:marRight w:val="0"/>
      <w:marTop w:val="0"/>
      <w:marBottom w:val="0"/>
      <w:divBdr>
        <w:top w:val="none" w:sz="0" w:space="0" w:color="auto"/>
        <w:left w:val="none" w:sz="0" w:space="0" w:color="auto"/>
        <w:bottom w:val="none" w:sz="0" w:space="0" w:color="auto"/>
        <w:right w:val="none" w:sz="0" w:space="0" w:color="auto"/>
      </w:divBdr>
      <w:divsChild>
        <w:div w:id="632487982">
          <w:marLeft w:val="0"/>
          <w:marRight w:val="0"/>
          <w:marTop w:val="0"/>
          <w:marBottom w:val="0"/>
          <w:divBdr>
            <w:top w:val="none" w:sz="0" w:space="0" w:color="auto"/>
            <w:left w:val="none" w:sz="0" w:space="0" w:color="auto"/>
            <w:bottom w:val="none" w:sz="0" w:space="0" w:color="auto"/>
            <w:right w:val="none" w:sz="0" w:space="0" w:color="auto"/>
          </w:divBdr>
        </w:div>
      </w:divsChild>
    </w:div>
    <w:div w:id="1597520478">
      <w:bodyDiv w:val="1"/>
      <w:marLeft w:val="0"/>
      <w:marRight w:val="0"/>
      <w:marTop w:val="0"/>
      <w:marBottom w:val="0"/>
      <w:divBdr>
        <w:top w:val="none" w:sz="0" w:space="0" w:color="auto"/>
        <w:left w:val="none" w:sz="0" w:space="0" w:color="auto"/>
        <w:bottom w:val="none" w:sz="0" w:space="0" w:color="auto"/>
        <w:right w:val="none" w:sz="0" w:space="0" w:color="auto"/>
      </w:divBdr>
    </w:div>
    <w:div w:id="1647276534">
      <w:bodyDiv w:val="1"/>
      <w:marLeft w:val="0"/>
      <w:marRight w:val="0"/>
      <w:marTop w:val="0"/>
      <w:marBottom w:val="0"/>
      <w:divBdr>
        <w:top w:val="none" w:sz="0" w:space="0" w:color="auto"/>
        <w:left w:val="none" w:sz="0" w:space="0" w:color="auto"/>
        <w:bottom w:val="none" w:sz="0" w:space="0" w:color="auto"/>
        <w:right w:val="none" w:sz="0" w:space="0" w:color="auto"/>
      </w:divBdr>
    </w:div>
    <w:div w:id="1665355578">
      <w:bodyDiv w:val="1"/>
      <w:marLeft w:val="0"/>
      <w:marRight w:val="0"/>
      <w:marTop w:val="0"/>
      <w:marBottom w:val="0"/>
      <w:divBdr>
        <w:top w:val="none" w:sz="0" w:space="0" w:color="auto"/>
        <w:left w:val="none" w:sz="0" w:space="0" w:color="auto"/>
        <w:bottom w:val="none" w:sz="0" w:space="0" w:color="auto"/>
        <w:right w:val="none" w:sz="0" w:space="0" w:color="auto"/>
      </w:divBdr>
    </w:div>
    <w:div w:id="1688099039">
      <w:bodyDiv w:val="1"/>
      <w:marLeft w:val="0"/>
      <w:marRight w:val="0"/>
      <w:marTop w:val="0"/>
      <w:marBottom w:val="0"/>
      <w:divBdr>
        <w:top w:val="none" w:sz="0" w:space="0" w:color="auto"/>
        <w:left w:val="none" w:sz="0" w:space="0" w:color="auto"/>
        <w:bottom w:val="none" w:sz="0" w:space="0" w:color="auto"/>
        <w:right w:val="none" w:sz="0" w:space="0" w:color="auto"/>
      </w:divBdr>
    </w:div>
    <w:div w:id="1747919708">
      <w:bodyDiv w:val="1"/>
      <w:marLeft w:val="0"/>
      <w:marRight w:val="0"/>
      <w:marTop w:val="0"/>
      <w:marBottom w:val="0"/>
      <w:divBdr>
        <w:top w:val="none" w:sz="0" w:space="0" w:color="auto"/>
        <w:left w:val="none" w:sz="0" w:space="0" w:color="auto"/>
        <w:bottom w:val="none" w:sz="0" w:space="0" w:color="auto"/>
        <w:right w:val="none" w:sz="0" w:space="0" w:color="auto"/>
      </w:divBdr>
    </w:div>
    <w:div w:id="1820028316">
      <w:bodyDiv w:val="1"/>
      <w:marLeft w:val="0"/>
      <w:marRight w:val="0"/>
      <w:marTop w:val="0"/>
      <w:marBottom w:val="0"/>
      <w:divBdr>
        <w:top w:val="none" w:sz="0" w:space="0" w:color="auto"/>
        <w:left w:val="none" w:sz="0" w:space="0" w:color="auto"/>
        <w:bottom w:val="none" w:sz="0" w:space="0" w:color="auto"/>
        <w:right w:val="none" w:sz="0" w:space="0" w:color="auto"/>
      </w:divBdr>
    </w:div>
    <w:div w:id="1822118801">
      <w:bodyDiv w:val="1"/>
      <w:marLeft w:val="0"/>
      <w:marRight w:val="0"/>
      <w:marTop w:val="0"/>
      <w:marBottom w:val="0"/>
      <w:divBdr>
        <w:top w:val="none" w:sz="0" w:space="0" w:color="auto"/>
        <w:left w:val="none" w:sz="0" w:space="0" w:color="auto"/>
        <w:bottom w:val="none" w:sz="0" w:space="0" w:color="auto"/>
        <w:right w:val="none" w:sz="0" w:space="0" w:color="auto"/>
      </w:divBdr>
    </w:div>
    <w:div w:id="1824470696">
      <w:bodyDiv w:val="1"/>
      <w:marLeft w:val="0"/>
      <w:marRight w:val="0"/>
      <w:marTop w:val="0"/>
      <w:marBottom w:val="0"/>
      <w:divBdr>
        <w:top w:val="none" w:sz="0" w:space="0" w:color="auto"/>
        <w:left w:val="none" w:sz="0" w:space="0" w:color="auto"/>
        <w:bottom w:val="none" w:sz="0" w:space="0" w:color="auto"/>
        <w:right w:val="none" w:sz="0" w:space="0" w:color="auto"/>
      </w:divBdr>
    </w:div>
    <w:div w:id="1925337332">
      <w:bodyDiv w:val="1"/>
      <w:marLeft w:val="0"/>
      <w:marRight w:val="0"/>
      <w:marTop w:val="0"/>
      <w:marBottom w:val="0"/>
      <w:divBdr>
        <w:top w:val="none" w:sz="0" w:space="0" w:color="auto"/>
        <w:left w:val="none" w:sz="0" w:space="0" w:color="auto"/>
        <w:bottom w:val="none" w:sz="0" w:space="0" w:color="auto"/>
        <w:right w:val="none" w:sz="0" w:space="0" w:color="auto"/>
      </w:divBdr>
    </w:div>
    <w:div w:id="1932201544">
      <w:bodyDiv w:val="1"/>
      <w:marLeft w:val="0"/>
      <w:marRight w:val="0"/>
      <w:marTop w:val="0"/>
      <w:marBottom w:val="0"/>
      <w:divBdr>
        <w:top w:val="none" w:sz="0" w:space="0" w:color="auto"/>
        <w:left w:val="none" w:sz="0" w:space="0" w:color="auto"/>
        <w:bottom w:val="none" w:sz="0" w:space="0" w:color="auto"/>
        <w:right w:val="none" w:sz="0" w:space="0" w:color="auto"/>
      </w:divBdr>
    </w:div>
    <w:div w:id="2000378638">
      <w:bodyDiv w:val="1"/>
      <w:marLeft w:val="0"/>
      <w:marRight w:val="0"/>
      <w:marTop w:val="0"/>
      <w:marBottom w:val="0"/>
      <w:divBdr>
        <w:top w:val="none" w:sz="0" w:space="0" w:color="auto"/>
        <w:left w:val="none" w:sz="0" w:space="0" w:color="auto"/>
        <w:bottom w:val="none" w:sz="0" w:space="0" w:color="auto"/>
        <w:right w:val="none" w:sz="0" w:space="0" w:color="auto"/>
      </w:divBdr>
    </w:div>
    <w:div w:id="2004770793">
      <w:bodyDiv w:val="1"/>
      <w:marLeft w:val="0"/>
      <w:marRight w:val="0"/>
      <w:marTop w:val="0"/>
      <w:marBottom w:val="0"/>
      <w:divBdr>
        <w:top w:val="none" w:sz="0" w:space="0" w:color="auto"/>
        <w:left w:val="none" w:sz="0" w:space="0" w:color="auto"/>
        <w:bottom w:val="none" w:sz="0" w:space="0" w:color="auto"/>
        <w:right w:val="none" w:sz="0" w:space="0" w:color="auto"/>
      </w:divBdr>
    </w:div>
    <w:div w:id="21351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lobalfund.org/fr/human-rights/" TargetMode="External"/><Relationship Id="rId2" Type="http://schemas.openxmlformats.org/officeDocument/2006/relationships/hyperlink" Target="https://endmalaria.org/sites/default/files/Malaria%20Matchbox_v4.pdf" TargetMode="External"/><Relationship Id="rId1" Type="http://schemas.openxmlformats.org/officeDocument/2006/relationships/hyperlink" Target="https://www.theglobalfund.org/fr/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7EC03D640DC49BF68E68AA1A0E98A" ma:contentTypeVersion="13" ma:contentTypeDescription="Create a new document." ma:contentTypeScope="" ma:versionID="ca584702e8d5a52d6bf807ecdd457bb3">
  <xsd:schema xmlns:xsd="http://www.w3.org/2001/XMLSchema" xmlns:xs="http://www.w3.org/2001/XMLSchema" xmlns:p="http://schemas.microsoft.com/office/2006/metadata/properties" xmlns:ns3="c74980a5-5cdf-46e8-911e-cf5946d11c90" xmlns:ns4="4007dfa8-a317-40ec-83b7-2262bfb1a1e5" targetNamespace="http://schemas.microsoft.com/office/2006/metadata/properties" ma:root="true" ma:fieldsID="86d883765bb2d17c80a3e2c680a24075" ns3:_="" ns4:_="">
    <xsd:import namespace="c74980a5-5cdf-46e8-911e-cf5946d11c90"/>
    <xsd:import namespace="4007dfa8-a317-40ec-83b7-2262bfb1a1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80a5-5cdf-46e8-911e-cf5946d11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7dfa8-a317-40ec-83b7-2262bfb1a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3A0F-F6BA-4BFD-B501-39C44DE19C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4007dfa8-a317-40ec-83b7-2262bfb1a1e5"/>
    <ds:schemaRef ds:uri="http://schemas.microsoft.com/office/infopath/2007/PartnerControls"/>
    <ds:schemaRef ds:uri="c74980a5-5cdf-46e8-911e-cf5946d11c90"/>
    <ds:schemaRef ds:uri="http://www.w3.org/XML/1998/namespace"/>
  </ds:schemaRefs>
</ds:datastoreItem>
</file>

<file path=customXml/itemProps2.xml><?xml version="1.0" encoding="utf-8"?>
<ds:datastoreItem xmlns:ds="http://schemas.openxmlformats.org/officeDocument/2006/customXml" ds:itemID="{D9168F5D-EFE3-4CD3-8FF3-7ACF4A1732EB}">
  <ds:schemaRefs>
    <ds:schemaRef ds:uri="http://schemas.microsoft.com/sharepoint/v3/contenttype/forms"/>
  </ds:schemaRefs>
</ds:datastoreItem>
</file>

<file path=customXml/itemProps3.xml><?xml version="1.0" encoding="utf-8"?>
<ds:datastoreItem xmlns:ds="http://schemas.openxmlformats.org/officeDocument/2006/customXml" ds:itemID="{707F37BE-B82D-4118-A2A9-53414CDB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80a5-5cdf-46e8-911e-cf5946d11c90"/>
    <ds:schemaRef ds:uri="4007dfa8-a317-40ec-83b7-2262bfb1a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49500-E901-47F2-A917-9F386FD4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Draft Country Report: Uganda</vt:lpstr>
    </vt:vector>
  </TitlesOfParts>
  <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Country Report: Uganda</dc:title>
  <dc:subject>Prepared for: The Global Fund to Fight AIDS, TB and Malaria</dc:subject>
  <dc:creator>Katie McDowell;sw</dc:creator>
  <cp:lastModifiedBy>Nineta Avani</cp:lastModifiedBy>
  <cp:revision>2</cp:revision>
  <cp:lastPrinted>2019-07-08T10:00:00Z</cp:lastPrinted>
  <dcterms:created xsi:type="dcterms:W3CDTF">2021-02-15T18:36:00Z</dcterms:created>
  <dcterms:modified xsi:type="dcterms:W3CDTF">2021-02-15T18:36:00Z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0x0101002867EC03D640DC49BF68E68AA1A0E98A</vt:lpwstr>
  </property>
</Properties>
</file>