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7B83" w14:textId="12BD2C55" w:rsidR="00BD7A06" w:rsidRPr="00767A66" w:rsidRDefault="00E54104" w:rsidP="00BD7A06">
      <w:pPr>
        <w:rPr>
          <w:rFonts w:cs="Arial"/>
          <w:sz w:val="44"/>
          <w:szCs w:val="44"/>
          <w:lang w:val="es-ES"/>
        </w:rPr>
      </w:pPr>
      <w:r w:rsidRPr="00767A66">
        <w:rPr>
          <w:rFonts w:asciiTheme="majorHAnsi" w:eastAsiaTheme="minorEastAsia" w:hAnsiTheme="majorHAnsi"/>
          <w:sz w:val="44"/>
          <w:szCs w:val="44"/>
          <w:lang w:val="es"/>
        </w:rPr>
        <w:t>Anexo de deficiencias y prioridades de los sistemas para la salud resilientes y sostenibles (SSRS) - Plantilla</w:t>
      </w:r>
    </w:p>
    <w:p w14:paraId="58E75881" w14:textId="3C949D37" w:rsidR="004E0AA9" w:rsidRPr="00AC7007" w:rsidRDefault="004E0AA9" w:rsidP="002E7489">
      <w:pPr>
        <w:spacing w:after="120" w:line="240" w:lineRule="auto"/>
        <w:jc w:val="both"/>
        <w:rPr>
          <w:rFonts w:eastAsia="Calibri" w:cs="Arial"/>
          <w:sz w:val="22"/>
          <w:lang w:val="es-ES"/>
        </w:rPr>
      </w:pPr>
      <w:r>
        <w:rPr>
          <w:rFonts w:eastAsia="Calibri" w:cs="Arial"/>
          <w:b/>
          <w:bCs/>
          <w:sz w:val="22"/>
          <w:lang w:val="es"/>
        </w:rPr>
        <w:t>Fecha de publicación:</w:t>
      </w:r>
      <w:r>
        <w:rPr>
          <w:rFonts w:eastAsia="Calibri" w:cs="Arial"/>
          <w:sz w:val="22"/>
          <w:lang w:val="es"/>
        </w:rPr>
        <w:t xml:space="preserve"> 12 de mayo de 2023</w:t>
      </w:r>
    </w:p>
    <w:p w14:paraId="084885CE" w14:textId="4F74F23D" w:rsidR="004E0AA9" w:rsidRPr="00767A66" w:rsidRDefault="004E0AA9" w:rsidP="002E7489">
      <w:pPr>
        <w:spacing w:after="120" w:line="240" w:lineRule="auto"/>
        <w:jc w:val="both"/>
        <w:rPr>
          <w:rFonts w:eastAsia="Calibri" w:cs="Arial"/>
          <w:b/>
          <w:bCs/>
          <w:sz w:val="12"/>
          <w:szCs w:val="12"/>
          <w:lang w:val="es-ES"/>
        </w:rPr>
      </w:pPr>
    </w:p>
    <w:p w14:paraId="547DDD82" w14:textId="2ADC44BF" w:rsidR="00C17FEC" w:rsidRPr="00AC7007" w:rsidRDefault="00FA0883" w:rsidP="002E7489">
      <w:pPr>
        <w:spacing w:after="120" w:line="240" w:lineRule="auto"/>
        <w:jc w:val="both"/>
        <w:rPr>
          <w:rFonts w:eastAsia="Calibri" w:cs="Arial"/>
          <w:sz w:val="22"/>
          <w:lang w:val="es-ES"/>
        </w:rPr>
      </w:pPr>
      <w:r>
        <w:rPr>
          <w:lang w:val="es"/>
        </w:rPr>
        <w:t xml:space="preserve">El propósito de este anexo es ayudar a los solicitantes a seguir un proceso estructurado para elaborar una solicitud priorizada de SSRS que esté plenamente respaldada por las necesidades de los programas de VIH, tuberculosis o malaria, y se base en ellas. También pretende servir de base para los debates sobre la distribución de programas. Por lo tanto, recomendamos a los solicitantes completar este anexo al comienzo del diálogo de país. </w:t>
      </w:r>
    </w:p>
    <w:p w14:paraId="6A75CC2E" w14:textId="77777777" w:rsidR="00C17FEC" w:rsidRPr="00767A66" w:rsidRDefault="00C17FEC" w:rsidP="002E7489">
      <w:pPr>
        <w:spacing w:after="120" w:line="240" w:lineRule="auto"/>
        <w:jc w:val="both"/>
        <w:rPr>
          <w:rFonts w:eastAsia="Calibri" w:cs="Arial"/>
          <w:b/>
          <w:bCs/>
          <w:sz w:val="12"/>
          <w:szCs w:val="12"/>
          <w:lang w:val="es-ES"/>
        </w:rPr>
      </w:pPr>
    </w:p>
    <w:p w14:paraId="72934B56" w14:textId="01B0061E" w:rsidR="002E7489" w:rsidRPr="00AC7007" w:rsidRDefault="000121F3" w:rsidP="002E7489">
      <w:pPr>
        <w:spacing w:after="120" w:line="240" w:lineRule="auto"/>
        <w:jc w:val="both"/>
        <w:rPr>
          <w:rFonts w:eastAsia="Calibri" w:cs="Arial"/>
          <w:sz w:val="22"/>
          <w:lang w:val="es-ES"/>
        </w:rPr>
      </w:pPr>
      <w:r>
        <w:rPr>
          <w:rFonts w:eastAsia="Calibri" w:cs="Arial"/>
          <w:b/>
          <w:bCs/>
          <w:sz w:val="22"/>
          <w:lang w:val="es"/>
        </w:rPr>
        <w:t>Sección 1 – Análisis de las prioridades de los SSRS, incluidas las relacionadas con el fortalecimiento de los sistemas comunitarios, en función de las deficiencias programáticas.</w:t>
      </w:r>
    </w:p>
    <w:p w14:paraId="3F1E3968" w14:textId="15A034E1" w:rsidR="000121F3" w:rsidRPr="00AC7007" w:rsidRDefault="24BEF394" w:rsidP="3F0E3084">
      <w:pPr>
        <w:spacing w:line="240" w:lineRule="auto"/>
        <w:jc w:val="both"/>
        <w:rPr>
          <w:rFonts w:eastAsia="Calibri" w:cs="Arial"/>
          <w:sz w:val="22"/>
          <w:lang w:val="es-ES"/>
        </w:rPr>
      </w:pPr>
      <w:r>
        <w:rPr>
          <w:rFonts w:eastAsia="Calibri" w:cs="Arial"/>
          <w:sz w:val="22"/>
          <w:lang w:val="es"/>
        </w:rPr>
        <w:t>Identificar las tres</w:t>
      </w:r>
      <w:r>
        <w:rPr>
          <w:rStyle w:val="FootnoteReference"/>
          <w:rFonts w:eastAsia="Calibri" w:cs="Arial"/>
          <w:sz w:val="22"/>
          <w:lang w:val="es"/>
        </w:rPr>
        <w:footnoteReference w:id="2"/>
      </w:r>
      <w:r>
        <w:rPr>
          <w:rFonts w:eastAsia="Calibri" w:cs="Arial"/>
          <w:sz w:val="22"/>
          <w:lang w:val="es"/>
        </w:rPr>
        <w:t xml:space="preserve"> prioridades principales de los SSRS (por módulo</w:t>
      </w:r>
      <w:r>
        <w:rPr>
          <w:rFonts w:eastAsia="Calibri" w:cs="Arial"/>
          <w:sz w:val="22"/>
          <w:vertAlign w:val="superscript"/>
          <w:lang w:val="es"/>
        </w:rPr>
        <w:footnoteReference w:id="3"/>
      </w:r>
      <w:r>
        <w:rPr>
          <w:rFonts w:eastAsia="Calibri" w:cs="Arial"/>
          <w:sz w:val="22"/>
          <w:lang w:val="es"/>
        </w:rPr>
        <w:t>) para cada programa (VIH, tuberculosis y malaria) y explicar brevemente de qué modo la inversión realizada en estas áreas ayudará a abordar las deficiencias programáticas específicas, al tiempo que contribuirá a los SSRS y la preparación frente a pandemias.</w:t>
      </w:r>
    </w:p>
    <w:tbl>
      <w:tblPr>
        <w:tblStyle w:val="TableGrid10"/>
        <w:tblW w:w="10343" w:type="dxa"/>
        <w:tblLook w:val="04A0" w:firstRow="1" w:lastRow="0" w:firstColumn="1" w:lastColumn="0" w:noHBand="0" w:noVBand="1"/>
      </w:tblPr>
      <w:tblGrid>
        <w:gridCol w:w="1838"/>
        <w:gridCol w:w="4536"/>
        <w:gridCol w:w="3969"/>
      </w:tblGrid>
      <w:tr w:rsidR="004C4757" w:rsidRPr="00F904A1" w14:paraId="1274EEBA" w14:textId="77777777" w:rsidTr="00767A66">
        <w:trPr>
          <w:trHeight w:val="772"/>
        </w:trPr>
        <w:tc>
          <w:tcPr>
            <w:tcW w:w="1838" w:type="dxa"/>
            <w:shd w:val="clear" w:color="auto" w:fill="939393" w:themeFill="text2"/>
            <w:tcMar>
              <w:top w:w="14" w:type="dxa"/>
              <w:left w:w="115" w:type="dxa"/>
              <w:bottom w:w="14" w:type="dxa"/>
              <w:right w:w="115" w:type="dxa"/>
            </w:tcMar>
            <w:vAlign w:val="center"/>
          </w:tcPr>
          <w:p w14:paraId="058D1A49" w14:textId="23D4C1BD" w:rsidR="000121F3" w:rsidRPr="00B534CF" w:rsidRDefault="000121F3" w:rsidP="00D31F26">
            <w:pPr>
              <w:pStyle w:val="ListAlpha"/>
            </w:pPr>
            <w:r>
              <w:rPr>
                <w:lang w:val="es"/>
              </w:rPr>
              <w:t xml:space="preserve">Componente de enfermedad </w:t>
            </w:r>
          </w:p>
        </w:tc>
        <w:tc>
          <w:tcPr>
            <w:tcW w:w="4536" w:type="dxa"/>
            <w:shd w:val="clear" w:color="auto" w:fill="939393" w:themeFill="text2"/>
            <w:tcMar>
              <w:top w:w="14" w:type="dxa"/>
              <w:left w:w="115" w:type="dxa"/>
              <w:bottom w:w="14" w:type="dxa"/>
              <w:right w:w="115" w:type="dxa"/>
            </w:tcMar>
            <w:vAlign w:val="center"/>
          </w:tcPr>
          <w:p w14:paraId="11360B49" w14:textId="3E7C3D01" w:rsidR="000121F3" w:rsidRPr="00AC7007" w:rsidRDefault="000121F3" w:rsidP="00D31F26">
            <w:pPr>
              <w:pStyle w:val="ListAlpha"/>
              <w:rPr>
                <w:lang w:val="es-ES"/>
              </w:rPr>
            </w:pPr>
            <w:r>
              <w:rPr>
                <w:lang w:val="es"/>
              </w:rPr>
              <w:t>Las tres prioridades principales de los SSRS (por módulo), incluidas las relacionadas con los sistemas comunitarios</w:t>
            </w:r>
          </w:p>
        </w:tc>
        <w:tc>
          <w:tcPr>
            <w:tcW w:w="3969" w:type="dxa"/>
            <w:shd w:val="clear" w:color="auto" w:fill="939393" w:themeFill="text2"/>
            <w:tcMar>
              <w:top w:w="14" w:type="dxa"/>
              <w:left w:w="115" w:type="dxa"/>
              <w:bottom w:w="14" w:type="dxa"/>
              <w:right w:w="115" w:type="dxa"/>
            </w:tcMar>
            <w:vAlign w:val="center"/>
          </w:tcPr>
          <w:p w14:paraId="615B9BCD" w14:textId="77777777" w:rsidR="000121F3" w:rsidRPr="00AC7007" w:rsidRDefault="000121F3" w:rsidP="00D31F26">
            <w:pPr>
              <w:pStyle w:val="ListAlpha"/>
              <w:rPr>
                <w:lang w:val="es-ES"/>
              </w:rPr>
            </w:pPr>
            <w:r>
              <w:rPr>
                <w:lang w:val="es"/>
              </w:rPr>
              <w:t xml:space="preserve">Relación con desafíos programáticos específicos o prioridades para garantizar la calidad </w:t>
            </w:r>
          </w:p>
        </w:tc>
      </w:tr>
      <w:tr w:rsidR="000121F3" w:rsidRPr="000121F3" w14:paraId="2CDE0810" w14:textId="77777777" w:rsidTr="00767A66">
        <w:tc>
          <w:tcPr>
            <w:tcW w:w="1838" w:type="dxa"/>
            <w:tcMar>
              <w:top w:w="14" w:type="dxa"/>
              <w:left w:w="115" w:type="dxa"/>
              <w:bottom w:w="14" w:type="dxa"/>
              <w:right w:w="115" w:type="dxa"/>
            </w:tcMar>
            <w:vAlign w:val="center"/>
          </w:tcPr>
          <w:p w14:paraId="2AF71496" w14:textId="77777777" w:rsidR="000121F3" w:rsidRPr="00652ED7" w:rsidRDefault="000121F3" w:rsidP="00D31F26">
            <w:pPr>
              <w:pStyle w:val="ListAlpha"/>
            </w:pPr>
            <w:r>
              <w:rPr>
                <w:lang w:val="es"/>
              </w:rPr>
              <w:t>VIH</w:t>
            </w:r>
          </w:p>
        </w:tc>
        <w:tc>
          <w:tcPr>
            <w:tcW w:w="4536" w:type="dxa"/>
            <w:tcMar>
              <w:top w:w="14" w:type="dxa"/>
              <w:left w:w="115" w:type="dxa"/>
              <w:bottom w:w="14" w:type="dxa"/>
              <w:right w:w="115" w:type="dxa"/>
            </w:tcMar>
            <w:vAlign w:val="center"/>
          </w:tcPr>
          <w:p w14:paraId="2EB40A88" w14:textId="1C4443A0" w:rsidR="000121F3" w:rsidRPr="00652ED7" w:rsidRDefault="00652ED7" w:rsidP="00D31F26">
            <w:pPr>
              <w:pStyle w:val="ListAlpha"/>
            </w:pPr>
            <w:r>
              <w:rPr>
                <w:lang w:val="es"/>
              </w:rPr>
              <w:t>1.</w:t>
            </w:r>
          </w:p>
          <w:p w14:paraId="654D6ECB" w14:textId="6722DF5D" w:rsidR="00652ED7" w:rsidRPr="00652ED7" w:rsidRDefault="00652ED7" w:rsidP="00D31F26">
            <w:pPr>
              <w:pStyle w:val="ListAlpha"/>
            </w:pPr>
            <w:r>
              <w:rPr>
                <w:lang w:val="es"/>
              </w:rPr>
              <w:t>2.</w:t>
            </w:r>
          </w:p>
          <w:p w14:paraId="63DD8F1D" w14:textId="1EC9F1BE" w:rsidR="00652ED7" w:rsidRPr="00A95C7D" w:rsidRDefault="00652ED7" w:rsidP="00D31F26">
            <w:pPr>
              <w:pStyle w:val="ListAlpha"/>
            </w:pPr>
            <w:r>
              <w:rPr>
                <w:lang w:val="es"/>
              </w:rPr>
              <w:t>3.</w:t>
            </w:r>
          </w:p>
        </w:tc>
        <w:tc>
          <w:tcPr>
            <w:tcW w:w="3969" w:type="dxa"/>
            <w:tcMar>
              <w:top w:w="14" w:type="dxa"/>
              <w:left w:w="115" w:type="dxa"/>
              <w:bottom w:w="14" w:type="dxa"/>
              <w:right w:w="115" w:type="dxa"/>
            </w:tcMar>
            <w:vAlign w:val="center"/>
          </w:tcPr>
          <w:p w14:paraId="45C83675" w14:textId="77777777" w:rsidR="000121F3" w:rsidRPr="00A95C7D" w:rsidRDefault="000121F3" w:rsidP="00D31F26">
            <w:pPr>
              <w:pStyle w:val="ListAlpha"/>
            </w:pPr>
          </w:p>
        </w:tc>
      </w:tr>
      <w:tr w:rsidR="000121F3" w:rsidRPr="000121F3" w14:paraId="356CA58D" w14:textId="77777777" w:rsidTr="00767A66">
        <w:tc>
          <w:tcPr>
            <w:tcW w:w="1838" w:type="dxa"/>
            <w:tcMar>
              <w:top w:w="14" w:type="dxa"/>
              <w:left w:w="115" w:type="dxa"/>
              <w:bottom w:w="14" w:type="dxa"/>
              <w:right w:w="115" w:type="dxa"/>
            </w:tcMar>
            <w:vAlign w:val="center"/>
          </w:tcPr>
          <w:p w14:paraId="5CE81452" w14:textId="77777777" w:rsidR="000121F3" w:rsidRPr="00652ED7" w:rsidRDefault="000121F3" w:rsidP="00D31F26">
            <w:pPr>
              <w:pStyle w:val="ListAlpha"/>
            </w:pPr>
            <w:r>
              <w:rPr>
                <w:lang w:val="es"/>
              </w:rPr>
              <w:t>Tuberculosis</w:t>
            </w:r>
          </w:p>
        </w:tc>
        <w:tc>
          <w:tcPr>
            <w:tcW w:w="4536" w:type="dxa"/>
            <w:tcMar>
              <w:top w:w="14" w:type="dxa"/>
              <w:left w:w="115" w:type="dxa"/>
              <w:bottom w:w="14" w:type="dxa"/>
              <w:right w:w="115" w:type="dxa"/>
            </w:tcMar>
            <w:vAlign w:val="center"/>
          </w:tcPr>
          <w:p w14:paraId="0A6F7828" w14:textId="6B898D6D" w:rsidR="000121F3" w:rsidRPr="00652ED7" w:rsidRDefault="00652ED7" w:rsidP="00D31F26">
            <w:pPr>
              <w:pStyle w:val="ListAlpha"/>
            </w:pPr>
            <w:r>
              <w:rPr>
                <w:lang w:val="es"/>
              </w:rPr>
              <w:t>1.</w:t>
            </w:r>
          </w:p>
          <w:p w14:paraId="19030198" w14:textId="47E2E522" w:rsidR="00652ED7" w:rsidRPr="00652ED7" w:rsidRDefault="00652ED7" w:rsidP="00D31F26">
            <w:pPr>
              <w:pStyle w:val="ListAlpha"/>
            </w:pPr>
            <w:r>
              <w:rPr>
                <w:lang w:val="es"/>
              </w:rPr>
              <w:t>2.</w:t>
            </w:r>
          </w:p>
          <w:p w14:paraId="4E6064B5" w14:textId="7C0BAACB" w:rsidR="00652ED7" w:rsidRPr="00A95C7D" w:rsidRDefault="00652ED7" w:rsidP="00D31F26">
            <w:pPr>
              <w:pStyle w:val="ListAlpha"/>
            </w:pPr>
            <w:r>
              <w:rPr>
                <w:lang w:val="es"/>
              </w:rPr>
              <w:t>3.</w:t>
            </w:r>
          </w:p>
        </w:tc>
        <w:tc>
          <w:tcPr>
            <w:tcW w:w="3969" w:type="dxa"/>
            <w:tcMar>
              <w:top w:w="14" w:type="dxa"/>
              <w:left w:w="115" w:type="dxa"/>
              <w:bottom w:w="14" w:type="dxa"/>
              <w:right w:w="115" w:type="dxa"/>
            </w:tcMar>
            <w:vAlign w:val="center"/>
          </w:tcPr>
          <w:p w14:paraId="63044234" w14:textId="77777777" w:rsidR="000121F3" w:rsidRPr="00A95C7D" w:rsidRDefault="000121F3" w:rsidP="00D31F26">
            <w:pPr>
              <w:pStyle w:val="ListAlpha"/>
            </w:pPr>
          </w:p>
        </w:tc>
      </w:tr>
      <w:tr w:rsidR="000121F3" w:rsidRPr="000121F3" w14:paraId="09EBB0F3" w14:textId="77777777" w:rsidTr="00767A66">
        <w:tc>
          <w:tcPr>
            <w:tcW w:w="1838" w:type="dxa"/>
            <w:tcMar>
              <w:top w:w="14" w:type="dxa"/>
              <w:left w:w="115" w:type="dxa"/>
              <w:bottom w:w="14" w:type="dxa"/>
              <w:right w:w="115" w:type="dxa"/>
            </w:tcMar>
            <w:vAlign w:val="center"/>
          </w:tcPr>
          <w:p w14:paraId="2417D1D7" w14:textId="77777777" w:rsidR="000121F3" w:rsidRPr="00652ED7" w:rsidRDefault="000121F3" w:rsidP="00D31F26">
            <w:pPr>
              <w:pStyle w:val="ListAlpha"/>
            </w:pPr>
            <w:r>
              <w:rPr>
                <w:lang w:val="es"/>
              </w:rPr>
              <w:t>Malaria</w:t>
            </w:r>
          </w:p>
        </w:tc>
        <w:tc>
          <w:tcPr>
            <w:tcW w:w="4536" w:type="dxa"/>
            <w:tcMar>
              <w:top w:w="14" w:type="dxa"/>
              <w:left w:w="115" w:type="dxa"/>
              <w:bottom w:w="14" w:type="dxa"/>
              <w:right w:w="115" w:type="dxa"/>
            </w:tcMar>
            <w:vAlign w:val="center"/>
          </w:tcPr>
          <w:p w14:paraId="5E48D12F" w14:textId="744838B6" w:rsidR="000121F3" w:rsidRPr="00652ED7" w:rsidRDefault="00652ED7" w:rsidP="00D31F26">
            <w:pPr>
              <w:pStyle w:val="ListAlpha"/>
            </w:pPr>
            <w:r>
              <w:rPr>
                <w:lang w:val="es"/>
              </w:rPr>
              <w:t>1.</w:t>
            </w:r>
          </w:p>
          <w:p w14:paraId="11B496C1" w14:textId="45D76B5C" w:rsidR="00652ED7" w:rsidRPr="00652ED7" w:rsidRDefault="00652ED7" w:rsidP="00D31F26">
            <w:pPr>
              <w:pStyle w:val="ListAlpha"/>
            </w:pPr>
            <w:r>
              <w:rPr>
                <w:lang w:val="es"/>
              </w:rPr>
              <w:t>2.</w:t>
            </w:r>
          </w:p>
          <w:p w14:paraId="40D9E0C0" w14:textId="67E4E9FB" w:rsidR="00652ED7" w:rsidRPr="00A95C7D" w:rsidRDefault="00652ED7" w:rsidP="00D31F26">
            <w:pPr>
              <w:pStyle w:val="ListAlpha"/>
            </w:pPr>
            <w:r>
              <w:rPr>
                <w:lang w:val="es"/>
              </w:rPr>
              <w:t>3.</w:t>
            </w:r>
          </w:p>
        </w:tc>
        <w:tc>
          <w:tcPr>
            <w:tcW w:w="3969" w:type="dxa"/>
            <w:tcMar>
              <w:top w:w="14" w:type="dxa"/>
              <w:left w:w="115" w:type="dxa"/>
              <w:bottom w:w="14" w:type="dxa"/>
              <w:right w:w="115" w:type="dxa"/>
            </w:tcMar>
            <w:vAlign w:val="center"/>
          </w:tcPr>
          <w:p w14:paraId="018FEFB5" w14:textId="77777777" w:rsidR="000121F3" w:rsidRPr="00A95C7D" w:rsidRDefault="000121F3" w:rsidP="00D31F26">
            <w:pPr>
              <w:pStyle w:val="ListAlpha"/>
            </w:pPr>
          </w:p>
        </w:tc>
      </w:tr>
    </w:tbl>
    <w:p w14:paraId="51F025C3" w14:textId="77777777" w:rsidR="00392B45" w:rsidRDefault="00392B45">
      <w:pPr>
        <w:spacing w:after="160" w:line="2" w:lineRule="auto"/>
        <w:rPr>
          <w:rFonts w:eastAsia="Calibri" w:cs="Arial"/>
          <w:b/>
          <w:bCs/>
          <w:sz w:val="22"/>
        </w:rPr>
      </w:pPr>
      <w:r>
        <w:rPr>
          <w:rFonts w:eastAsia="Calibri" w:cs="Arial"/>
          <w:b/>
          <w:bCs/>
          <w:sz w:val="22"/>
          <w:lang w:val="es"/>
        </w:rPr>
        <w:br w:type="page"/>
      </w:r>
    </w:p>
    <w:p w14:paraId="01237E35" w14:textId="1E94EA60" w:rsidR="002E7489" w:rsidRPr="00AC7007" w:rsidRDefault="000121F3" w:rsidP="002E7489">
      <w:pPr>
        <w:spacing w:after="120" w:line="240" w:lineRule="auto"/>
        <w:jc w:val="both"/>
        <w:rPr>
          <w:rFonts w:eastAsia="Calibri" w:cs="Arial"/>
          <w:b/>
          <w:bCs/>
          <w:sz w:val="22"/>
          <w:lang w:val="es-ES"/>
        </w:rPr>
      </w:pPr>
      <w:r>
        <w:rPr>
          <w:rFonts w:eastAsia="Calibri" w:cs="Arial"/>
          <w:b/>
          <w:bCs/>
          <w:sz w:val="22"/>
          <w:lang w:val="es"/>
        </w:rPr>
        <w:lastRenderedPageBreak/>
        <w:t>Sección 2 – Prioridades transversales de los SSRS y el proceso de priorización</w:t>
      </w:r>
    </w:p>
    <w:p w14:paraId="5FEDD210" w14:textId="0A56484D" w:rsidR="000121F3" w:rsidRPr="00AC7007" w:rsidRDefault="000121F3" w:rsidP="67013372">
      <w:pPr>
        <w:spacing w:line="240" w:lineRule="auto"/>
        <w:jc w:val="both"/>
        <w:rPr>
          <w:rFonts w:eastAsia="Calibri" w:cs="Arial"/>
          <w:b/>
          <w:bCs/>
          <w:sz w:val="22"/>
          <w:lang w:val="es-ES"/>
        </w:rPr>
      </w:pPr>
      <w:r>
        <w:rPr>
          <w:rFonts w:eastAsia="Calibri" w:cs="Arial"/>
          <w:sz w:val="22"/>
          <w:lang w:val="es"/>
        </w:rPr>
        <w:t>En función del análisis expuesto previamente y del diálogo conjunto entre las partes interesadas en el VIH, la tuberculosis, la malaria y los SSRS: 1) seleccionar las áreas transversales de los SSRS (clasificadas en módulos) que se incluirán en cada solicitud de financiamiento;</w:t>
      </w:r>
      <w:r>
        <w:rPr>
          <w:rStyle w:val="FootnoteReference"/>
          <w:rFonts w:eastAsia="Calibri" w:cs="Arial"/>
          <w:sz w:val="22"/>
          <w:lang w:val="es"/>
        </w:rPr>
        <w:footnoteReference w:id="4"/>
      </w:r>
      <w:r>
        <w:rPr>
          <w:rFonts w:eastAsia="Calibri" w:cs="Arial"/>
          <w:sz w:val="22"/>
          <w:lang w:val="es"/>
        </w:rPr>
        <w:t xml:space="preserve"> 2) resumir por qué se han priorizado estas áreas entre las partes interesadas de los programas de las enfermedades y los SSRS; 3) explicar el enfoque utilizado para discutir y priorizar estas áreas de forma colaborativa; y 4) resumir cómo estas prioridades se alinean con las articuladas en el plan nacional del sector sanitario y con otras políticas y estrategias nacionales clave. Los detalles de las intervenciones y las actividades, junto con una justificación pormenorizada y los resultados esperados, deben describirse en la solicitud de financiamiento. </w:t>
      </w:r>
    </w:p>
    <w:tbl>
      <w:tblPr>
        <w:tblStyle w:val="TableGrid10"/>
        <w:tblW w:w="9715" w:type="dxa"/>
        <w:tblLook w:val="04A0" w:firstRow="1" w:lastRow="0" w:firstColumn="1" w:lastColumn="0" w:noHBand="0" w:noVBand="1"/>
      </w:tblPr>
      <w:tblGrid>
        <w:gridCol w:w="9715"/>
      </w:tblGrid>
      <w:tr w:rsidR="000121F3" w:rsidRPr="000121F3" w14:paraId="49898DE3" w14:textId="77777777" w:rsidTr="004C4757">
        <w:tc>
          <w:tcPr>
            <w:tcW w:w="9715" w:type="dxa"/>
          </w:tcPr>
          <w:p w14:paraId="57349C2A" w14:textId="0BB82FDC" w:rsidR="003E3E1D" w:rsidRPr="00F80605" w:rsidRDefault="00652ED7" w:rsidP="00D31F26">
            <w:pPr>
              <w:pStyle w:val="ListAlpha"/>
            </w:pPr>
            <w:r>
              <w:rPr>
                <w:lang w:val="es"/>
              </w:rPr>
              <w:t>Describa aquí su respuesta:</w:t>
            </w:r>
          </w:p>
          <w:p w14:paraId="6A4B8613" w14:textId="77777777" w:rsidR="00F80605" w:rsidRPr="00F80605" w:rsidRDefault="00F80605" w:rsidP="00D31F26">
            <w:pPr>
              <w:pStyle w:val="ListAlpha"/>
            </w:pPr>
          </w:p>
          <w:p w14:paraId="0FFA3CE3" w14:textId="77777777" w:rsidR="00DF4ED0" w:rsidRDefault="00DF4ED0" w:rsidP="00D31F26">
            <w:pPr>
              <w:pStyle w:val="ListAlpha"/>
            </w:pPr>
          </w:p>
          <w:p w14:paraId="41A09BE6" w14:textId="21A3477D" w:rsidR="008A4FEA" w:rsidRPr="007A650F" w:rsidRDefault="008A4FEA" w:rsidP="00D31F26">
            <w:pPr>
              <w:pStyle w:val="ListAlpha"/>
            </w:pPr>
          </w:p>
        </w:tc>
      </w:tr>
    </w:tbl>
    <w:p w14:paraId="73C5BCC5" w14:textId="77777777" w:rsidR="003E3E1D" w:rsidRDefault="003E3E1D" w:rsidP="002E7489">
      <w:pPr>
        <w:spacing w:after="120" w:line="240" w:lineRule="auto"/>
        <w:jc w:val="both"/>
        <w:rPr>
          <w:rFonts w:eastAsia="Calibri" w:cs="Arial"/>
          <w:b/>
          <w:bCs/>
          <w:sz w:val="22"/>
        </w:rPr>
      </w:pPr>
    </w:p>
    <w:p w14:paraId="064C5B4F" w14:textId="2858DA91" w:rsidR="002E7489" w:rsidRPr="00AC7007" w:rsidRDefault="000121F3" w:rsidP="002E7489">
      <w:pPr>
        <w:spacing w:after="120" w:line="240" w:lineRule="auto"/>
        <w:jc w:val="both"/>
        <w:rPr>
          <w:rFonts w:eastAsia="Calibri" w:cs="Arial"/>
          <w:b/>
          <w:bCs/>
          <w:sz w:val="22"/>
          <w:lang w:val="es-ES"/>
        </w:rPr>
      </w:pPr>
      <w:r>
        <w:rPr>
          <w:rFonts w:eastAsia="Calibri" w:cs="Arial"/>
          <w:b/>
          <w:bCs/>
          <w:sz w:val="22"/>
          <w:lang w:val="es"/>
        </w:rPr>
        <w:t>Sección 3: Análisis del déficit de financiamiento</w:t>
      </w:r>
    </w:p>
    <w:p w14:paraId="6CB8E22E" w14:textId="01145A13" w:rsidR="000121F3" w:rsidRPr="00AC7007" w:rsidRDefault="009E1E74" w:rsidP="000121F3">
      <w:pPr>
        <w:spacing w:line="240" w:lineRule="auto"/>
        <w:jc w:val="both"/>
        <w:rPr>
          <w:rFonts w:eastAsia="Calibri" w:cs="Arial"/>
          <w:sz w:val="22"/>
          <w:lang w:val="es-ES"/>
        </w:rPr>
      </w:pPr>
      <w:r>
        <w:rPr>
          <w:rFonts w:eastAsia="Calibri" w:cs="Arial"/>
          <w:sz w:val="22"/>
          <w:lang w:val="es"/>
        </w:rPr>
        <w:t xml:space="preserve">Para las prioridades que se identifican en la sección 2 (que se deben describir en más detalle en la solicitud de financiamiento), es necesario completar la siguiente tabla de análisis del déficit de financiamiento. Como alternativa, los solicitantes también pueden utilizar su propio formato. Enumerar los supuestos y las fuentes de datos que sean relevantes. </w:t>
      </w:r>
    </w:p>
    <w:tbl>
      <w:tblPr>
        <w:tblStyle w:val="TableGrid10"/>
        <w:tblW w:w="9715" w:type="dxa"/>
        <w:tblLook w:val="04A0" w:firstRow="1" w:lastRow="0" w:firstColumn="1" w:lastColumn="0" w:noHBand="0" w:noVBand="1"/>
      </w:tblPr>
      <w:tblGrid>
        <w:gridCol w:w="1615"/>
        <w:gridCol w:w="1475"/>
        <w:gridCol w:w="6625"/>
      </w:tblGrid>
      <w:tr w:rsidR="000B7B57" w:rsidRPr="00F904A1" w14:paraId="2A4FC5DA" w14:textId="77777777" w:rsidTr="009164F8">
        <w:tc>
          <w:tcPr>
            <w:tcW w:w="1615" w:type="dxa"/>
            <w:shd w:val="clear" w:color="auto" w:fill="939393" w:themeFill="text2"/>
            <w:tcMar>
              <w:top w:w="14" w:type="dxa"/>
              <w:left w:w="115" w:type="dxa"/>
              <w:bottom w:w="14" w:type="dxa"/>
              <w:right w:w="115" w:type="dxa"/>
            </w:tcMar>
          </w:tcPr>
          <w:p w14:paraId="0BC9E37E" w14:textId="77777777" w:rsidR="000121F3" w:rsidRPr="00B534CF" w:rsidRDefault="000121F3" w:rsidP="00D31F26">
            <w:pPr>
              <w:pStyle w:val="ListAlpha"/>
            </w:pPr>
            <w:r>
              <w:rPr>
                <w:lang w:val="es"/>
              </w:rPr>
              <w:t>Módulo</w:t>
            </w:r>
          </w:p>
        </w:tc>
        <w:tc>
          <w:tcPr>
            <w:tcW w:w="1475" w:type="dxa"/>
            <w:shd w:val="clear" w:color="auto" w:fill="939393" w:themeFill="text2"/>
            <w:tcMar>
              <w:top w:w="14" w:type="dxa"/>
              <w:left w:w="115" w:type="dxa"/>
              <w:bottom w:w="14" w:type="dxa"/>
              <w:right w:w="115" w:type="dxa"/>
            </w:tcMar>
          </w:tcPr>
          <w:p w14:paraId="5B291816" w14:textId="7BE5CFA6" w:rsidR="000121F3" w:rsidRPr="00B534CF" w:rsidRDefault="000121F3" w:rsidP="00D31F26">
            <w:pPr>
              <w:pStyle w:val="ListAlpha"/>
            </w:pPr>
            <w:r>
              <w:rPr>
                <w:lang w:val="es"/>
              </w:rPr>
              <w:t xml:space="preserve">Intervención </w:t>
            </w:r>
          </w:p>
        </w:tc>
        <w:tc>
          <w:tcPr>
            <w:tcW w:w="6625" w:type="dxa"/>
            <w:shd w:val="clear" w:color="auto" w:fill="939393" w:themeFill="text2"/>
            <w:tcMar>
              <w:top w:w="14" w:type="dxa"/>
              <w:left w:w="115" w:type="dxa"/>
              <w:bottom w:w="14" w:type="dxa"/>
              <w:right w:w="115" w:type="dxa"/>
            </w:tcMar>
          </w:tcPr>
          <w:p w14:paraId="528DF07D" w14:textId="77777777" w:rsidR="000121F3" w:rsidRPr="00AC7007" w:rsidRDefault="000121F3" w:rsidP="00D31F26">
            <w:pPr>
              <w:pStyle w:val="ListAlpha"/>
              <w:rPr>
                <w:lang w:val="es-ES"/>
              </w:rPr>
            </w:pPr>
            <w:r>
              <w:rPr>
                <w:lang w:val="es"/>
              </w:rPr>
              <w:t xml:space="preserve">Análisis del déficit de financiamiento </w:t>
            </w:r>
          </w:p>
        </w:tc>
      </w:tr>
      <w:tr w:rsidR="000121F3" w:rsidRPr="000121F3" w14:paraId="6ECB000E" w14:textId="77777777" w:rsidTr="004C4757">
        <w:tc>
          <w:tcPr>
            <w:tcW w:w="1615" w:type="dxa"/>
            <w:tcMar>
              <w:top w:w="14" w:type="dxa"/>
              <w:left w:w="115" w:type="dxa"/>
              <w:bottom w:w="14" w:type="dxa"/>
              <w:right w:w="115" w:type="dxa"/>
            </w:tcMar>
          </w:tcPr>
          <w:p w14:paraId="5165F8E3" w14:textId="4814E06E" w:rsidR="000121F3" w:rsidRPr="00AC7007" w:rsidRDefault="000121F3" w:rsidP="00D31F26">
            <w:pPr>
              <w:pStyle w:val="ListAlpha"/>
              <w:rPr>
                <w:lang w:val="es-ES"/>
              </w:rPr>
            </w:pPr>
          </w:p>
        </w:tc>
        <w:tc>
          <w:tcPr>
            <w:tcW w:w="1475" w:type="dxa"/>
            <w:tcMar>
              <w:top w:w="14" w:type="dxa"/>
              <w:left w:w="115" w:type="dxa"/>
              <w:bottom w:w="14" w:type="dxa"/>
              <w:right w:w="115" w:type="dxa"/>
            </w:tcMar>
          </w:tcPr>
          <w:p w14:paraId="5009FB40" w14:textId="4518CD9B" w:rsidR="000121F3" w:rsidRPr="00AC7007" w:rsidRDefault="000121F3" w:rsidP="00D31F26">
            <w:pPr>
              <w:pStyle w:val="ListAlpha"/>
              <w:rPr>
                <w:lang w:val="es-ES"/>
              </w:rPr>
            </w:pPr>
          </w:p>
        </w:tc>
        <w:tc>
          <w:tcPr>
            <w:tcW w:w="6625" w:type="dxa"/>
            <w:tcMar>
              <w:top w:w="14" w:type="dxa"/>
              <w:left w:w="115" w:type="dxa"/>
              <w:bottom w:w="14" w:type="dxa"/>
              <w:right w:w="115" w:type="dxa"/>
            </w:tcMar>
          </w:tcPr>
          <w:p w14:paraId="29F89779" w14:textId="77777777" w:rsidR="000121F3" w:rsidRPr="00AC7007" w:rsidRDefault="000121F3" w:rsidP="00D31F26">
            <w:pPr>
              <w:pStyle w:val="ListAlpha"/>
              <w:rPr>
                <w:lang w:val="es-ES"/>
              </w:rPr>
            </w:pPr>
            <w:r>
              <w:rPr>
                <w:lang w:val="es"/>
              </w:rPr>
              <w:t xml:space="preserve">A. Monto total necesario: </w:t>
            </w:r>
          </w:p>
          <w:p w14:paraId="40D7D2E6" w14:textId="77777777" w:rsidR="000121F3" w:rsidRPr="00AC7007" w:rsidRDefault="000121F3" w:rsidP="00D31F26">
            <w:pPr>
              <w:pStyle w:val="ListAlpha"/>
              <w:rPr>
                <w:lang w:val="es-ES"/>
              </w:rPr>
            </w:pPr>
            <w:r>
              <w:rPr>
                <w:lang w:val="es"/>
              </w:rPr>
              <w:t xml:space="preserve">B. Monto total financiado y por quién: </w:t>
            </w:r>
          </w:p>
          <w:p w14:paraId="32C2A882" w14:textId="68C9EE99" w:rsidR="000121F3" w:rsidRPr="00AC7007" w:rsidRDefault="000121F3" w:rsidP="00D31F26">
            <w:pPr>
              <w:pStyle w:val="ListAlpha"/>
              <w:rPr>
                <w:lang w:val="es-ES"/>
              </w:rPr>
            </w:pPr>
            <w:r>
              <w:rPr>
                <w:lang w:val="es"/>
              </w:rPr>
              <w:t xml:space="preserve">C. Déficit (A-B): </w:t>
            </w:r>
          </w:p>
          <w:p w14:paraId="70C74CBB" w14:textId="3449E583" w:rsidR="000121F3" w:rsidRPr="00AC7007" w:rsidRDefault="000121F3" w:rsidP="00D31F26">
            <w:pPr>
              <w:pStyle w:val="ListAlpha"/>
              <w:rPr>
                <w:lang w:val="es-ES"/>
              </w:rPr>
            </w:pPr>
            <w:r>
              <w:rPr>
                <w:lang w:val="es"/>
              </w:rPr>
              <w:t xml:space="preserve">D. Inversión del Fondo Mundial: </w:t>
            </w:r>
          </w:p>
          <w:p w14:paraId="4ED36500" w14:textId="77777777" w:rsidR="000121F3" w:rsidRPr="00AC7007" w:rsidRDefault="000121F3" w:rsidP="00D31F26">
            <w:pPr>
              <w:pStyle w:val="ListAlpha"/>
              <w:rPr>
                <w:lang w:val="es-ES"/>
              </w:rPr>
            </w:pPr>
            <w:r>
              <w:rPr>
                <w:lang w:val="es"/>
              </w:rPr>
              <w:t xml:space="preserve">E. Déficit restante (C-D): </w:t>
            </w:r>
          </w:p>
          <w:p w14:paraId="1539A7DB" w14:textId="60AD8F54" w:rsidR="003A35FE" w:rsidRPr="00AC7007" w:rsidRDefault="003A35FE" w:rsidP="00D31F26">
            <w:pPr>
              <w:pStyle w:val="ListAlpha"/>
              <w:rPr>
                <w:lang w:val="es-ES"/>
              </w:rPr>
            </w:pPr>
            <w:r>
              <w:rPr>
                <w:lang w:val="es"/>
              </w:rPr>
              <w:t>Supuestos:</w:t>
            </w:r>
          </w:p>
          <w:p w14:paraId="1AEAD9D0" w14:textId="4320B298" w:rsidR="003A35FE" w:rsidRDefault="003A35FE" w:rsidP="00D31F26">
            <w:pPr>
              <w:pStyle w:val="ListAlpha"/>
            </w:pPr>
            <w:r>
              <w:rPr>
                <w:lang w:val="es"/>
              </w:rPr>
              <w:t>Fuentes de datos:</w:t>
            </w:r>
          </w:p>
          <w:p w14:paraId="28D7830B" w14:textId="696DDA16" w:rsidR="000964DC" w:rsidRPr="00577FD6" w:rsidRDefault="000964DC" w:rsidP="00D31F26">
            <w:pPr>
              <w:pStyle w:val="ListAlpha"/>
            </w:pPr>
            <w:r>
              <w:rPr>
                <w:lang w:val="es"/>
              </w:rPr>
              <w:t xml:space="preserve"> </w:t>
            </w:r>
          </w:p>
        </w:tc>
      </w:tr>
      <w:tr w:rsidR="00211C0C" w:rsidRPr="00AC7007" w14:paraId="7F3110B7" w14:textId="77777777" w:rsidTr="004C4757">
        <w:tc>
          <w:tcPr>
            <w:tcW w:w="1615" w:type="dxa"/>
            <w:tcMar>
              <w:top w:w="14" w:type="dxa"/>
              <w:left w:w="115" w:type="dxa"/>
              <w:bottom w:w="14" w:type="dxa"/>
              <w:right w:w="115" w:type="dxa"/>
            </w:tcMar>
          </w:tcPr>
          <w:p w14:paraId="02DDC9A1" w14:textId="78553544" w:rsidR="00211C0C" w:rsidRPr="00AC7007" w:rsidDel="00211C0C" w:rsidRDefault="00211C0C" w:rsidP="00D31F26">
            <w:pPr>
              <w:pStyle w:val="ListAlpha"/>
              <w:rPr>
                <w:lang w:val="es-ES"/>
              </w:rPr>
            </w:pPr>
            <w:r>
              <w:rPr>
                <w:lang w:val="es"/>
              </w:rPr>
              <w:t xml:space="preserve">Añada más líneas en caso necesario </w:t>
            </w:r>
          </w:p>
        </w:tc>
        <w:tc>
          <w:tcPr>
            <w:tcW w:w="1475" w:type="dxa"/>
            <w:tcMar>
              <w:top w:w="14" w:type="dxa"/>
              <w:left w:w="115" w:type="dxa"/>
              <w:bottom w:w="14" w:type="dxa"/>
              <w:right w:w="115" w:type="dxa"/>
            </w:tcMar>
          </w:tcPr>
          <w:p w14:paraId="118CE901" w14:textId="77777777" w:rsidR="00211C0C" w:rsidRPr="00AC7007" w:rsidDel="00211C0C" w:rsidRDefault="00211C0C" w:rsidP="00D31F26">
            <w:pPr>
              <w:pStyle w:val="ListAlpha"/>
              <w:rPr>
                <w:lang w:val="es-ES"/>
              </w:rPr>
            </w:pPr>
          </w:p>
        </w:tc>
        <w:tc>
          <w:tcPr>
            <w:tcW w:w="6625" w:type="dxa"/>
            <w:tcMar>
              <w:top w:w="14" w:type="dxa"/>
              <w:left w:w="115" w:type="dxa"/>
              <w:bottom w:w="14" w:type="dxa"/>
              <w:right w:w="115" w:type="dxa"/>
            </w:tcMar>
          </w:tcPr>
          <w:p w14:paraId="65D388B9" w14:textId="77777777" w:rsidR="00211C0C" w:rsidRPr="00AC7007" w:rsidRDefault="00211C0C" w:rsidP="00D31F26">
            <w:pPr>
              <w:pStyle w:val="ListAlpha"/>
              <w:rPr>
                <w:lang w:val="es-ES"/>
              </w:rPr>
            </w:pPr>
          </w:p>
        </w:tc>
      </w:tr>
    </w:tbl>
    <w:p w14:paraId="2289CE84" w14:textId="77777777" w:rsidR="00D544C8" w:rsidRPr="00AC7007" w:rsidRDefault="00D544C8" w:rsidP="00202E7F">
      <w:pPr>
        <w:rPr>
          <w:lang w:val="es-ES"/>
        </w:rPr>
      </w:pPr>
    </w:p>
    <w:p w14:paraId="656C830F" w14:textId="77777777" w:rsidR="00781FFD" w:rsidRPr="00AC7007" w:rsidRDefault="00781FFD" w:rsidP="00202E7F">
      <w:pPr>
        <w:rPr>
          <w:lang w:val="es-ES"/>
        </w:rPr>
      </w:pPr>
    </w:p>
    <w:p w14:paraId="3E91718E" w14:textId="77777777" w:rsidR="00781FFD" w:rsidRPr="00AC7007" w:rsidRDefault="00781FFD" w:rsidP="00202E7F">
      <w:pPr>
        <w:rPr>
          <w:lang w:val="es-ES"/>
        </w:rPr>
      </w:pPr>
    </w:p>
    <w:p w14:paraId="574AC7B2" w14:textId="77777777" w:rsidR="00781FFD" w:rsidRPr="00AC7007" w:rsidRDefault="00781FFD" w:rsidP="00202E7F">
      <w:pPr>
        <w:rPr>
          <w:lang w:val="es-ES"/>
        </w:rPr>
      </w:pPr>
    </w:p>
    <w:p w14:paraId="6AEAC9E5" w14:textId="77777777" w:rsidR="00781FFD" w:rsidRPr="00AC7007" w:rsidRDefault="00781FFD" w:rsidP="00202E7F">
      <w:pPr>
        <w:rPr>
          <w:lang w:val="es-ES"/>
        </w:rPr>
      </w:pPr>
    </w:p>
    <w:p w14:paraId="190A4B38" w14:textId="77777777" w:rsidR="00781FFD" w:rsidRPr="00AC7007" w:rsidRDefault="00781FFD" w:rsidP="00202E7F">
      <w:pPr>
        <w:rPr>
          <w:lang w:val="es-ES"/>
        </w:rPr>
      </w:pPr>
    </w:p>
    <w:p w14:paraId="467F92C5" w14:textId="60D6911C" w:rsidR="00A2721B" w:rsidRPr="00767A66" w:rsidRDefault="00A2721B" w:rsidP="009164F8">
      <w:pPr>
        <w:pStyle w:val="Heading1NonNumbered"/>
        <w:rPr>
          <w:lang w:val="es-ES"/>
        </w:rPr>
      </w:pPr>
      <w:bookmarkStart w:id="0" w:name="Instructions"/>
      <w:r>
        <w:rPr>
          <w:rFonts w:eastAsiaTheme="minorEastAsia"/>
          <w:lang w:val="es"/>
        </w:rPr>
        <w:t>Anexo de deficiencias y prioridades de los SSRS: instrucciones y ejemplos ilustrativos</w:t>
      </w:r>
    </w:p>
    <w:bookmarkEnd w:id="0"/>
    <w:p w14:paraId="5BDF7884" w14:textId="6093CE3D" w:rsidR="000E22FD" w:rsidRPr="00767A66" w:rsidRDefault="000E22FD" w:rsidP="000E22FD">
      <w:pPr>
        <w:spacing w:line="240" w:lineRule="auto"/>
        <w:jc w:val="both"/>
        <w:rPr>
          <w:rFonts w:eastAsia="Calibri" w:cs="Arial"/>
          <w:sz w:val="22"/>
          <w:lang w:val="es-ES"/>
        </w:rPr>
      </w:pPr>
      <w:r>
        <w:rPr>
          <w:rFonts w:eastAsia="Calibri" w:cs="Arial"/>
          <w:sz w:val="22"/>
          <w:lang w:val="es"/>
        </w:rPr>
        <w:t xml:space="preserve">Este anexo debe completarse e incorporarse a la presentación de la solicitud de financiamiento cuando el solicitante pide apoyo para los SSRS. Según el </w:t>
      </w:r>
      <w:r w:rsidR="00F904A1">
        <w:fldChar w:fldCharType="begin"/>
      </w:r>
      <w:r w:rsidR="00F904A1" w:rsidRPr="00F904A1">
        <w:rPr>
          <w:lang w:val="fr-CH"/>
        </w:rPr>
        <w:instrText>HYPERLINK "https://www.theglobalfund.org/media/5699/fundingmodel_applicanthandbook_guide_es.pdf"</w:instrText>
      </w:r>
      <w:r w:rsidR="00F904A1">
        <w:fldChar w:fldCharType="separate"/>
      </w:r>
      <w:r>
        <w:rPr>
          <w:rStyle w:val="Hyperlink"/>
          <w:rFonts w:eastAsia="Calibri" w:cs="Arial"/>
          <w:i/>
          <w:iCs/>
          <w:sz w:val="22"/>
          <w:lang w:val="es"/>
        </w:rPr>
        <w:t>Manual para solicitantes</w:t>
      </w:r>
      <w:r w:rsidR="00F904A1">
        <w:rPr>
          <w:rStyle w:val="Hyperlink"/>
          <w:rFonts w:eastAsia="Calibri" w:cs="Arial"/>
          <w:i/>
          <w:iCs/>
          <w:sz w:val="22"/>
          <w:lang w:val="es"/>
        </w:rPr>
        <w:fldChar w:fldCharType="end"/>
      </w:r>
      <w:r>
        <w:rPr>
          <w:rFonts w:eastAsia="Calibri" w:cs="Arial"/>
          <w:sz w:val="22"/>
          <w:lang w:val="es"/>
        </w:rPr>
        <w:t xml:space="preserve">, se recomienda encarecidamente incluir la petición completa de SSRS en una solicitud de financiamiento (de enfermedad o bien una solicitud de SSRS independiente), en lugar de dividirla en las diferentes solicitudes. </w:t>
      </w:r>
    </w:p>
    <w:p w14:paraId="271F4A6E" w14:textId="5E6BD817" w:rsidR="000E22FD" w:rsidRPr="00767A66" w:rsidRDefault="00F32DF6" w:rsidP="000E22FD">
      <w:pPr>
        <w:spacing w:line="240" w:lineRule="auto"/>
        <w:jc w:val="both"/>
        <w:rPr>
          <w:rFonts w:eastAsia="Calibri" w:cs="Arial"/>
          <w:sz w:val="22"/>
          <w:lang w:val="es-ES"/>
        </w:rPr>
      </w:pPr>
      <w:r>
        <w:rPr>
          <w:rFonts w:eastAsia="Calibri" w:cs="Arial"/>
          <w:sz w:val="22"/>
          <w:lang w:val="es"/>
        </w:rPr>
        <w:t xml:space="preserve">Este anexo proporciona información relativa a las prioridades de los SSRS del solicitante por enfermedad (sección 1) y explica de qué manera se han priorizado en una solicitud de financiamiento de los SSRS coherente y alineada con el plan nacional de salud (sección 2). A los solicitantes también se les pide que proporcionen información sobre el financiamiento existente, los déficits de financiamiento y la manera en que la solicitud de financiamiento subsana estas deficiencias (sección 3). </w:t>
      </w:r>
    </w:p>
    <w:p w14:paraId="767715B4" w14:textId="74ACB66D" w:rsidR="000E22FD" w:rsidRPr="00767A66" w:rsidRDefault="0046288A" w:rsidP="000E22FD">
      <w:pPr>
        <w:spacing w:line="240" w:lineRule="auto"/>
        <w:jc w:val="both"/>
        <w:rPr>
          <w:rFonts w:eastAsia="Calibri" w:cs="Arial"/>
          <w:sz w:val="22"/>
          <w:lang w:val="es-ES"/>
        </w:rPr>
      </w:pPr>
      <w:r>
        <w:rPr>
          <w:rFonts w:eastAsia="Calibri" w:cs="Arial"/>
          <w:sz w:val="22"/>
          <w:lang w:val="es"/>
        </w:rPr>
        <w:t>En la solicitud de financiamiento se debe incluir una descripción completa de las prioridades que se enumeran en este anexo (justificación, actividades, alineación con enfoques críticos, etc.). Tenga en cuenta que el contenido incluido en la solicitud de financiamiento no debe duplicarse en el anexo de deficiencias y prioridades de los SSRS. Consulte la información proporcionada en cada uno de los documentos según sea necesario.</w:t>
      </w:r>
    </w:p>
    <w:p w14:paraId="51889FFD" w14:textId="34D0A007" w:rsidR="000E22FD" w:rsidRPr="00767A66" w:rsidRDefault="000E22FD" w:rsidP="000E22FD">
      <w:pPr>
        <w:spacing w:line="240" w:lineRule="auto"/>
        <w:jc w:val="both"/>
        <w:rPr>
          <w:rFonts w:eastAsia="Calibri" w:cs="Arial"/>
          <w:sz w:val="22"/>
          <w:lang w:val="es-ES"/>
        </w:rPr>
      </w:pPr>
      <w:r>
        <w:rPr>
          <w:rFonts w:eastAsia="Calibri" w:cs="Arial"/>
          <w:b/>
          <w:bCs/>
          <w:sz w:val="22"/>
          <w:lang w:val="es"/>
        </w:rPr>
        <w:t>Sección 1 – Análisis de las prioridades de los SSRS, incluidas las relacionadas con el fortalecimiento de los sistemas comunitarios, en función de las deficiencias programáticas.</w:t>
      </w:r>
      <w:r>
        <w:rPr>
          <w:rFonts w:eastAsia="Calibri" w:cs="Arial"/>
          <w:sz w:val="22"/>
          <w:lang w:val="es"/>
        </w:rPr>
        <w:t xml:space="preserve"> </w:t>
      </w:r>
    </w:p>
    <w:p w14:paraId="016E81A8" w14:textId="2468032D" w:rsidR="000E22FD" w:rsidRPr="00767A66" w:rsidRDefault="000E22FD" w:rsidP="67013372">
      <w:pPr>
        <w:spacing w:line="240" w:lineRule="auto"/>
        <w:jc w:val="both"/>
        <w:rPr>
          <w:rFonts w:eastAsia="Calibri" w:cs="Arial"/>
          <w:sz w:val="22"/>
          <w:lang w:val="es-ES"/>
        </w:rPr>
      </w:pPr>
      <w:r>
        <w:rPr>
          <w:sz w:val="22"/>
          <w:lang w:val="es"/>
        </w:rPr>
        <w:t>Identificar las tres prioridades principales de los SSRS (por módulo) para cada programa y explicar brevemente de qué modo la inversión en estas áreas ayudará a abordar las deficiencias programáticas específicas para el VIH, la tuberculosis y la malaria, al tiempo que contribuirá al fortalecimiento del sistema de salud general y la preparación frente a pandemias. Se recomienda identificar hasta tres áreas, ya que se trata de un proceso de priorización. No obstante, los países pueden enumerar más de tres áreas si es necesario.</w:t>
      </w:r>
      <w:r>
        <w:rPr>
          <w:lang w:val="es"/>
        </w:rPr>
        <w:t xml:space="preserve"> </w:t>
      </w:r>
      <w:r>
        <w:rPr>
          <w:sz w:val="22"/>
          <w:lang w:val="es"/>
        </w:rPr>
        <w:t>Las inversiones en los SSRS deben contribuir a las funciones esenciales de la salud pública, aprovechando el apoyo a los servicios de salud de calidad orientados hacia las cambiantes necesidades de la población para alcanzar la cobertura universal de la salud.</w:t>
      </w:r>
      <w:r>
        <w:rPr>
          <w:sz w:val="22"/>
          <w:vertAlign w:val="superscript"/>
          <w:lang w:val="es"/>
        </w:rPr>
        <w:footnoteReference w:id="5"/>
      </w:r>
      <w:r>
        <w:rPr>
          <w:sz w:val="22"/>
          <w:lang w:val="es"/>
        </w:rPr>
        <w:t xml:space="preserve"> Las preguntas orientativas de la </w:t>
      </w:r>
      <w:r w:rsidR="00F904A1">
        <w:fldChar w:fldCharType="begin"/>
      </w:r>
      <w:r w:rsidR="00F904A1" w:rsidRPr="00F904A1">
        <w:rPr>
          <w:lang w:val="fr-CH"/>
        </w:rPr>
        <w:instrText>HYPERLINK "https://www.theglobalfund.org/media/8830/core_resilientsustainablesystemsforhealth_infonote_es.pdf"</w:instrText>
      </w:r>
      <w:r w:rsidR="00F904A1">
        <w:fldChar w:fldCharType="separate"/>
      </w:r>
      <w:r>
        <w:rPr>
          <w:rStyle w:val="Hyperlink"/>
          <w:rFonts w:eastAsia="Calibri" w:cs="Arial"/>
          <w:i/>
          <w:iCs/>
          <w:sz w:val="22"/>
          <w:lang w:val="es"/>
        </w:rPr>
        <w:t>Nota informativa sobre los SSRS</w:t>
      </w:r>
      <w:r w:rsidR="00F904A1">
        <w:rPr>
          <w:rStyle w:val="Hyperlink"/>
          <w:rFonts w:eastAsia="Calibri" w:cs="Arial"/>
          <w:i/>
          <w:iCs/>
          <w:sz w:val="22"/>
          <w:lang w:val="es"/>
        </w:rPr>
        <w:fldChar w:fldCharType="end"/>
      </w:r>
      <w:r>
        <w:rPr>
          <w:sz w:val="22"/>
          <w:lang w:val="es"/>
        </w:rPr>
        <w:t xml:space="preserve"> deben utilizarse para facilitar el diálogo de país. </w:t>
      </w:r>
    </w:p>
    <w:p w14:paraId="0770CE38" w14:textId="4A064161" w:rsidR="000E22FD" w:rsidRPr="00767A66" w:rsidRDefault="000E22FD" w:rsidP="000E22FD">
      <w:pPr>
        <w:spacing w:line="240" w:lineRule="auto"/>
        <w:jc w:val="both"/>
        <w:rPr>
          <w:rFonts w:eastAsia="Calibri" w:cs="Arial"/>
          <w:sz w:val="22"/>
          <w:lang w:val="es-ES"/>
        </w:rPr>
      </w:pPr>
      <w:r>
        <w:rPr>
          <w:rFonts w:eastAsia="Calibri" w:cs="Arial"/>
          <w:sz w:val="22"/>
          <w:lang w:val="es"/>
        </w:rPr>
        <w:t xml:space="preserve">Para cada prioridad pueden incluirse una o dos oraciones, además de dos o tres oraciones adicionales para describir cómo esa área prioritaria aborda los desafíos de cada programa. Esta información debe complementar la incluida en la solicitud de financiamiento, que aporta el contexto del sector sanitario y una justificación clara para la solicitud. La documentación justificativa (por ejemplo, estrategias nacionales, evaluaciones, etc.) también debe incluirse según corresponda. </w:t>
      </w:r>
    </w:p>
    <w:p w14:paraId="4B61BA10" w14:textId="5130D4A6" w:rsidR="00D854EB" w:rsidRPr="00767A66" w:rsidRDefault="00D854EB" w:rsidP="000E22FD">
      <w:pPr>
        <w:spacing w:line="240" w:lineRule="auto"/>
        <w:jc w:val="both"/>
        <w:rPr>
          <w:rFonts w:eastAsia="Calibri" w:cs="Arial"/>
          <w:sz w:val="22"/>
          <w:lang w:val="es-ES"/>
        </w:rPr>
      </w:pPr>
      <w:r>
        <w:rPr>
          <w:rFonts w:eastAsia="Calibri" w:cs="Arial"/>
          <w:sz w:val="22"/>
          <w:lang w:val="es"/>
        </w:rPr>
        <w:t>El siguiente cuadro ofrece ejemplos ilustrativos:</w:t>
      </w:r>
    </w:p>
    <w:p w14:paraId="0B134ACC" w14:textId="77777777" w:rsidR="00872E5F" w:rsidRPr="00767A66" w:rsidRDefault="00872E5F" w:rsidP="000E22FD">
      <w:pPr>
        <w:spacing w:line="240" w:lineRule="auto"/>
        <w:jc w:val="both"/>
        <w:rPr>
          <w:rFonts w:eastAsia="Calibri" w:cs="Arial"/>
          <w:sz w:val="22"/>
          <w:lang w:val="es-ES"/>
        </w:rPr>
      </w:pPr>
    </w:p>
    <w:p w14:paraId="7EBCA392" w14:textId="77777777" w:rsidR="00872E5F" w:rsidRPr="00767A66" w:rsidRDefault="00872E5F" w:rsidP="000E22FD">
      <w:pPr>
        <w:spacing w:line="240" w:lineRule="auto"/>
        <w:jc w:val="both"/>
        <w:rPr>
          <w:rFonts w:eastAsia="Calibri" w:cs="Arial"/>
          <w:sz w:val="22"/>
          <w:lang w:val="es-ES"/>
        </w:rPr>
      </w:pPr>
    </w:p>
    <w:p w14:paraId="36D0A9C0" w14:textId="77777777" w:rsidR="00872E5F" w:rsidRPr="00767A66" w:rsidRDefault="00872E5F" w:rsidP="000E22FD">
      <w:pPr>
        <w:spacing w:line="240" w:lineRule="auto"/>
        <w:jc w:val="both"/>
        <w:rPr>
          <w:rFonts w:eastAsia="Calibri" w:cs="Arial"/>
          <w:sz w:val="22"/>
          <w:lang w:val="es-ES"/>
        </w:rPr>
      </w:pPr>
    </w:p>
    <w:tbl>
      <w:tblPr>
        <w:tblStyle w:val="TableGrid20"/>
        <w:tblW w:w="9715" w:type="dxa"/>
        <w:tblLook w:val="04A0" w:firstRow="1" w:lastRow="0" w:firstColumn="1" w:lastColumn="0" w:noHBand="0" w:noVBand="1"/>
      </w:tblPr>
      <w:tblGrid>
        <w:gridCol w:w="1975"/>
        <w:gridCol w:w="2790"/>
        <w:gridCol w:w="4950"/>
      </w:tblGrid>
      <w:tr w:rsidR="00A44797" w:rsidRPr="00767A66" w14:paraId="16326D60" w14:textId="77777777" w:rsidTr="00213227">
        <w:trPr>
          <w:trHeight w:val="737"/>
        </w:trPr>
        <w:tc>
          <w:tcPr>
            <w:tcW w:w="1975" w:type="dxa"/>
            <w:shd w:val="clear" w:color="auto" w:fill="939393" w:themeFill="text2"/>
            <w:tcMar>
              <w:top w:w="14" w:type="dxa"/>
              <w:left w:w="115" w:type="dxa"/>
              <w:bottom w:w="14" w:type="dxa"/>
              <w:right w:w="115" w:type="dxa"/>
            </w:tcMar>
            <w:vAlign w:val="center"/>
          </w:tcPr>
          <w:p w14:paraId="0DA3F910" w14:textId="63560264" w:rsidR="000E22FD" w:rsidRPr="00864AAE" w:rsidRDefault="000E22FD" w:rsidP="00D31F26">
            <w:pPr>
              <w:pStyle w:val="ListAlpha"/>
            </w:pPr>
            <w:r>
              <w:rPr>
                <w:lang w:val="es"/>
              </w:rPr>
              <w:t xml:space="preserve">Componente de enfermedad </w:t>
            </w:r>
          </w:p>
        </w:tc>
        <w:tc>
          <w:tcPr>
            <w:tcW w:w="2790" w:type="dxa"/>
            <w:shd w:val="clear" w:color="auto" w:fill="939393" w:themeFill="text2"/>
            <w:tcMar>
              <w:top w:w="14" w:type="dxa"/>
              <w:left w:w="115" w:type="dxa"/>
              <w:bottom w:w="14" w:type="dxa"/>
              <w:right w:w="115" w:type="dxa"/>
            </w:tcMar>
            <w:vAlign w:val="center"/>
          </w:tcPr>
          <w:p w14:paraId="66969B10" w14:textId="1076E5D2" w:rsidR="000E22FD" w:rsidRPr="00767A66" w:rsidRDefault="000E22FD" w:rsidP="00D31F26">
            <w:pPr>
              <w:pStyle w:val="ListAlpha"/>
              <w:rPr>
                <w:lang w:val="es-ES"/>
              </w:rPr>
            </w:pPr>
            <w:r>
              <w:rPr>
                <w:lang w:val="es"/>
              </w:rPr>
              <w:t>Las tres prioridades principales de los SSRS (por módulo), incluidas las relacionadas con los sistemas comunitarios</w:t>
            </w:r>
          </w:p>
        </w:tc>
        <w:tc>
          <w:tcPr>
            <w:tcW w:w="4950" w:type="dxa"/>
            <w:shd w:val="clear" w:color="auto" w:fill="939393" w:themeFill="text2"/>
            <w:tcMar>
              <w:top w:w="14" w:type="dxa"/>
              <w:left w:w="115" w:type="dxa"/>
              <w:bottom w:w="14" w:type="dxa"/>
              <w:right w:w="115" w:type="dxa"/>
            </w:tcMar>
            <w:vAlign w:val="center"/>
          </w:tcPr>
          <w:p w14:paraId="3AC79881" w14:textId="77777777" w:rsidR="000E22FD" w:rsidRPr="00767A66" w:rsidRDefault="000E22FD" w:rsidP="00D31F26">
            <w:pPr>
              <w:pStyle w:val="ListAlpha"/>
              <w:rPr>
                <w:lang w:val="es-ES"/>
              </w:rPr>
            </w:pPr>
            <w:r>
              <w:rPr>
                <w:lang w:val="es"/>
              </w:rPr>
              <w:t>Relación con desafíos programáticos específicos o prioridades para garantizar la calidad programática</w:t>
            </w:r>
          </w:p>
        </w:tc>
      </w:tr>
      <w:tr w:rsidR="000E22FD" w:rsidRPr="00F904A1" w14:paraId="69E5F700" w14:textId="77777777" w:rsidTr="00213227">
        <w:tc>
          <w:tcPr>
            <w:tcW w:w="1975" w:type="dxa"/>
            <w:tcMar>
              <w:top w:w="14" w:type="dxa"/>
              <w:left w:w="115" w:type="dxa"/>
              <w:bottom w:w="14" w:type="dxa"/>
              <w:right w:w="115" w:type="dxa"/>
            </w:tcMar>
          </w:tcPr>
          <w:p w14:paraId="279AAD8E" w14:textId="77777777" w:rsidR="000E22FD" w:rsidRPr="00906D34" w:rsidRDefault="000E22FD" w:rsidP="00D31F26">
            <w:pPr>
              <w:pStyle w:val="ListAlpha"/>
            </w:pPr>
            <w:r>
              <w:rPr>
                <w:lang w:val="es"/>
              </w:rPr>
              <w:t>VIH</w:t>
            </w:r>
          </w:p>
        </w:tc>
        <w:tc>
          <w:tcPr>
            <w:tcW w:w="2790" w:type="dxa"/>
            <w:tcMar>
              <w:top w:w="14" w:type="dxa"/>
              <w:left w:w="115" w:type="dxa"/>
              <w:bottom w:w="14" w:type="dxa"/>
              <w:right w:w="115" w:type="dxa"/>
            </w:tcMar>
          </w:tcPr>
          <w:p w14:paraId="7400E478" w14:textId="77777777" w:rsidR="000E22FD" w:rsidRPr="00767A66" w:rsidRDefault="000E22FD" w:rsidP="00D31F26">
            <w:pPr>
              <w:pStyle w:val="ListAlpha"/>
              <w:rPr>
                <w:lang w:val="es-ES"/>
              </w:rPr>
            </w:pPr>
            <w:r>
              <w:rPr>
                <w:lang w:val="es"/>
              </w:rPr>
              <w:t xml:space="preserve">1. Fortalecimiento de los sistemas de laboratorio </w:t>
            </w:r>
          </w:p>
          <w:p w14:paraId="6149BF29" w14:textId="77777777" w:rsidR="000E22FD" w:rsidRPr="00767A66" w:rsidRDefault="000E22FD" w:rsidP="00D31F26">
            <w:pPr>
              <w:pStyle w:val="ListAlpha"/>
              <w:rPr>
                <w:lang w:val="es-ES"/>
              </w:rPr>
            </w:pPr>
            <w:r>
              <w:rPr>
                <w:lang w:val="es"/>
              </w:rPr>
              <w:t xml:space="preserve">2. Estimación de gestión de productos sanitarios y planificación de los suministros (cuantificación). </w:t>
            </w:r>
          </w:p>
          <w:p w14:paraId="65377391" w14:textId="77777777" w:rsidR="000E22FD" w:rsidRPr="00767A66" w:rsidRDefault="000E22FD" w:rsidP="00D31F26">
            <w:pPr>
              <w:pStyle w:val="ListAlpha"/>
              <w:rPr>
                <w:lang w:val="es-ES"/>
              </w:rPr>
            </w:pPr>
            <w:r>
              <w:rPr>
                <w:lang w:val="es"/>
              </w:rPr>
              <w:t xml:space="preserve">3. Fortalecimiento de los sistemas comunitarios </w:t>
            </w:r>
          </w:p>
        </w:tc>
        <w:tc>
          <w:tcPr>
            <w:tcW w:w="4950" w:type="dxa"/>
            <w:tcMar>
              <w:top w:w="14" w:type="dxa"/>
              <w:left w:w="115" w:type="dxa"/>
              <w:bottom w:w="14" w:type="dxa"/>
              <w:right w:w="115" w:type="dxa"/>
            </w:tcMar>
          </w:tcPr>
          <w:p w14:paraId="1B595C31" w14:textId="77777777" w:rsidR="000E22FD" w:rsidRPr="00767A66" w:rsidRDefault="000E22FD" w:rsidP="00D31F26">
            <w:pPr>
              <w:pStyle w:val="ListAlpha"/>
              <w:rPr>
                <w:lang w:val="es-ES"/>
              </w:rPr>
            </w:pPr>
            <w:r>
              <w:rPr>
                <w:lang w:val="es"/>
              </w:rPr>
              <w:t xml:space="preserve">1. Desafíos persistentes en los sistemas de transporte de muestras y resultados para el diagnóstico infantil precoz. </w:t>
            </w:r>
          </w:p>
          <w:p w14:paraId="4E328776" w14:textId="1661AF9E" w:rsidR="000E22FD" w:rsidRPr="00767A66" w:rsidRDefault="000E22FD" w:rsidP="00D31F26">
            <w:pPr>
              <w:pStyle w:val="ListAlpha"/>
              <w:rPr>
                <w:lang w:val="es-ES"/>
              </w:rPr>
            </w:pPr>
            <w:r>
              <w:rPr>
                <w:lang w:val="es"/>
              </w:rPr>
              <w:t xml:space="preserve">2. Desafíos relativos a a) suficientes existencias disponibles para la prestación de servicios diferenciados de antirretrovirales para pacientes que responden bien al tratamiento y b) cantidades inadecuadas de preservativos y lubricantes en los programas de prevención. </w:t>
            </w:r>
          </w:p>
          <w:p w14:paraId="03839489" w14:textId="7CB29A1B" w:rsidR="000E22FD" w:rsidRPr="00767A66" w:rsidRDefault="000E22FD" w:rsidP="00D31F26">
            <w:pPr>
              <w:pStyle w:val="ListAlpha"/>
              <w:rPr>
                <w:lang w:val="es-ES"/>
              </w:rPr>
            </w:pPr>
            <w:r>
              <w:rPr>
                <w:lang w:val="es"/>
              </w:rPr>
              <w:t xml:space="preserve">3. Desafío relativo a la capacidad de las organizaciones comunitarias para prestar servicios integrados para el VIH y la tuberculosis y derivar a los pacientes a servicios de mayor nivel. </w:t>
            </w:r>
          </w:p>
        </w:tc>
      </w:tr>
      <w:tr w:rsidR="000E22FD" w:rsidRPr="00F904A1" w14:paraId="1C423377" w14:textId="77777777" w:rsidTr="00213227">
        <w:tc>
          <w:tcPr>
            <w:tcW w:w="1975" w:type="dxa"/>
            <w:tcMar>
              <w:top w:w="14" w:type="dxa"/>
              <w:left w:w="115" w:type="dxa"/>
              <w:bottom w:w="14" w:type="dxa"/>
              <w:right w:w="115" w:type="dxa"/>
            </w:tcMar>
          </w:tcPr>
          <w:p w14:paraId="3641B3C9" w14:textId="77777777" w:rsidR="000E22FD" w:rsidRPr="00906D34" w:rsidRDefault="000E22FD" w:rsidP="00D31F26">
            <w:pPr>
              <w:pStyle w:val="ListAlpha"/>
            </w:pPr>
            <w:r>
              <w:rPr>
                <w:lang w:val="es"/>
              </w:rPr>
              <w:t>Tuberculosis</w:t>
            </w:r>
          </w:p>
        </w:tc>
        <w:tc>
          <w:tcPr>
            <w:tcW w:w="2790" w:type="dxa"/>
            <w:tcMar>
              <w:top w:w="14" w:type="dxa"/>
              <w:left w:w="115" w:type="dxa"/>
              <w:bottom w:w="14" w:type="dxa"/>
              <w:right w:w="115" w:type="dxa"/>
            </w:tcMar>
          </w:tcPr>
          <w:p w14:paraId="119AF85E" w14:textId="77777777" w:rsidR="000E22FD" w:rsidRPr="00767A66" w:rsidRDefault="000E22FD" w:rsidP="00D31F26">
            <w:pPr>
              <w:pStyle w:val="ListAlpha"/>
              <w:rPr>
                <w:lang w:val="es-ES"/>
              </w:rPr>
            </w:pPr>
            <w:r>
              <w:rPr>
                <w:lang w:val="es"/>
              </w:rPr>
              <w:t>1. Recursos humanos y calidad de la atención</w:t>
            </w:r>
          </w:p>
          <w:p w14:paraId="0136F988" w14:textId="77777777" w:rsidR="000E22FD" w:rsidRPr="00767A66" w:rsidRDefault="000E22FD" w:rsidP="00D31F26">
            <w:pPr>
              <w:pStyle w:val="ListAlpha"/>
              <w:rPr>
                <w:lang w:val="es-ES"/>
              </w:rPr>
            </w:pPr>
            <w:r>
              <w:rPr>
                <w:lang w:val="es"/>
              </w:rPr>
              <w:t xml:space="preserve">2. Fortalecimiento de los sistemas comunitarios </w:t>
            </w:r>
          </w:p>
          <w:p w14:paraId="350F7F8B" w14:textId="77777777" w:rsidR="000E22FD" w:rsidRPr="00767A66" w:rsidRDefault="000E22FD" w:rsidP="00D31F26">
            <w:pPr>
              <w:pStyle w:val="ListAlpha"/>
              <w:rPr>
                <w:lang w:val="es-ES"/>
              </w:rPr>
            </w:pPr>
            <w:r>
              <w:rPr>
                <w:lang w:val="es"/>
              </w:rPr>
              <w:t>3. Fortalecimiento de los sistemas de laboratorio</w:t>
            </w:r>
          </w:p>
        </w:tc>
        <w:tc>
          <w:tcPr>
            <w:tcW w:w="4950" w:type="dxa"/>
            <w:tcMar>
              <w:top w:w="14" w:type="dxa"/>
              <w:left w:w="115" w:type="dxa"/>
              <w:bottom w:w="14" w:type="dxa"/>
              <w:right w:w="115" w:type="dxa"/>
            </w:tcMar>
          </w:tcPr>
          <w:p w14:paraId="2E9CC69F" w14:textId="06762CF0" w:rsidR="000E22FD" w:rsidRPr="00767A66" w:rsidRDefault="000E22FD" w:rsidP="00D31F26">
            <w:pPr>
              <w:pStyle w:val="ListAlpha"/>
              <w:rPr>
                <w:lang w:val="es-ES"/>
              </w:rPr>
            </w:pPr>
            <w:r>
              <w:rPr>
                <w:lang w:val="es"/>
              </w:rPr>
              <w:t>1. Desafío relativo a la ejecución y la calidad de la atención para los casos de tuberculosis debido a la escasez de recursos humanos y a la mala distribución del personal sanitario, incluidos los trabajadores de salud comunitarios.</w:t>
            </w:r>
          </w:p>
          <w:p w14:paraId="4F7C9FE9" w14:textId="49140D80" w:rsidR="000E22FD" w:rsidRPr="00767A66" w:rsidRDefault="000E22FD" w:rsidP="00D31F26">
            <w:pPr>
              <w:pStyle w:val="ListAlpha"/>
              <w:rPr>
                <w:lang w:val="es-ES"/>
              </w:rPr>
            </w:pPr>
            <w:r>
              <w:rPr>
                <w:lang w:val="es"/>
              </w:rPr>
              <w:t>2. Desafío en la detección de casos de tuberculosis en el ámbito comunitario debido a la escasa capacidad de las organizaciones comunitarias que trabajan con esta enfermedad y a la falta de integración en el sistema de atención primaria de salud.</w:t>
            </w:r>
          </w:p>
          <w:p w14:paraId="7B0F7D2D" w14:textId="7EA21697" w:rsidR="000E22FD" w:rsidRPr="00767A66" w:rsidRDefault="000E22FD" w:rsidP="00D31F26">
            <w:pPr>
              <w:pStyle w:val="ListAlpha"/>
              <w:rPr>
                <w:lang w:val="es-ES"/>
              </w:rPr>
            </w:pPr>
            <w:r>
              <w:rPr>
                <w:lang w:val="es"/>
              </w:rPr>
              <w:t xml:space="preserve">3. Desafío relativo al diagnóstico de la tuberculosis, incluido el transporte de muestras integrado. </w:t>
            </w:r>
          </w:p>
        </w:tc>
      </w:tr>
      <w:tr w:rsidR="000E22FD" w:rsidRPr="00F904A1" w14:paraId="5F983C64" w14:textId="77777777" w:rsidTr="00213227">
        <w:tc>
          <w:tcPr>
            <w:tcW w:w="1975" w:type="dxa"/>
            <w:tcMar>
              <w:top w:w="14" w:type="dxa"/>
              <w:left w:w="115" w:type="dxa"/>
              <w:bottom w:w="14" w:type="dxa"/>
              <w:right w:w="115" w:type="dxa"/>
            </w:tcMar>
          </w:tcPr>
          <w:p w14:paraId="32BD297C" w14:textId="77777777" w:rsidR="000E22FD" w:rsidRPr="00906D34" w:rsidRDefault="000E22FD" w:rsidP="00D31F26">
            <w:pPr>
              <w:pStyle w:val="ListAlpha"/>
            </w:pPr>
            <w:r>
              <w:rPr>
                <w:lang w:val="es"/>
              </w:rPr>
              <w:t>Malaria</w:t>
            </w:r>
          </w:p>
        </w:tc>
        <w:tc>
          <w:tcPr>
            <w:tcW w:w="2790" w:type="dxa"/>
            <w:tcMar>
              <w:top w:w="14" w:type="dxa"/>
              <w:left w:w="115" w:type="dxa"/>
              <w:bottom w:w="14" w:type="dxa"/>
              <w:right w:w="115" w:type="dxa"/>
            </w:tcMar>
          </w:tcPr>
          <w:p w14:paraId="1DED37F1" w14:textId="77777777" w:rsidR="000E22FD" w:rsidRPr="00767A66" w:rsidRDefault="000E22FD" w:rsidP="00D31F26">
            <w:pPr>
              <w:pStyle w:val="ListAlpha"/>
              <w:rPr>
                <w:lang w:val="es-ES"/>
              </w:rPr>
            </w:pPr>
            <w:r>
              <w:rPr>
                <w:lang w:val="es"/>
              </w:rPr>
              <w:t xml:space="preserve">1. Recursos humanos para la salud y calidad de la atención </w:t>
            </w:r>
          </w:p>
          <w:p w14:paraId="3087CD60" w14:textId="77777777" w:rsidR="000E22FD" w:rsidRPr="00767A66" w:rsidRDefault="000E22FD" w:rsidP="00D31F26">
            <w:pPr>
              <w:pStyle w:val="ListAlpha"/>
              <w:rPr>
                <w:lang w:val="es-ES"/>
              </w:rPr>
            </w:pPr>
          </w:p>
          <w:p w14:paraId="64DEB7E3" w14:textId="77777777" w:rsidR="000E22FD" w:rsidRPr="00767A66" w:rsidRDefault="000E22FD" w:rsidP="00D31F26">
            <w:pPr>
              <w:pStyle w:val="ListAlpha"/>
              <w:rPr>
                <w:lang w:val="es-ES"/>
              </w:rPr>
            </w:pPr>
          </w:p>
          <w:p w14:paraId="4F415B67" w14:textId="77777777" w:rsidR="000E22FD" w:rsidRPr="00767A66" w:rsidRDefault="000E22FD" w:rsidP="00D31F26">
            <w:pPr>
              <w:pStyle w:val="ListAlpha"/>
              <w:rPr>
                <w:lang w:val="es-ES"/>
              </w:rPr>
            </w:pPr>
            <w:r>
              <w:rPr>
                <w:lang w:val="es"/>
              </w:rPr>
              <w:t xml:space="preserve">2. Gestión de productos sanitarios y sistemas de </w:t>
            </w:r>
            <w:r>
              <w:rPr>
                <w:lang w:val="es"/>
              </w:rPr>
              <w:lastRenderedPageBreak/>
              <w:t xml:space="preserve">almacenamiento y distribución </w:t>
            </w:r>
          </w:p>
          <w:p w14:paraId="195C5364" w14:textId="77777777" w:rsidR="000E22FD" w:rsidRPr="00767A66" w:rsidRDefault="000E22FD" w:rsidP="00D31F26">
            <w:pPr>
              <w:pStyle w:val="ListAlpha"/>
              <w:rPr>
                <w:lang w:val="es-ES"/>
              </w:rPr>
            </w:pPr>
          </w:p>
          <w:p w14:paraId="05F7D60F" w14:textId="77777777" w:rsidR="000E22FD" w:rsidRPr="00767A66" w:rsidRDefault="000E22FD" w:rsidP="00D31F26">
            <w:pPr>
              <w:pStyle w:val="ListAlpha"/>
              <w:rPr>
                <w:lang w:val="es-ES"/>
              </w:rPr>
            </w:pPr>
            <w:r>
              <w:rPr>
                <w:lang w:val="es"/>
              </w:rPr>
              <w:t xml:space="preserve">3. Sistemas de monitoreo y evaluación </w:t>
            </w:r>
          </w:p>
        </w:tc>
        <w:tc>
          <w:tcPr>
            <w:tcW w:w="4950" w:type="dxa"/>
            <w:tcMar>
              <w:top w:w="14" w:type="dxa"/>
              <w:left w:w="115" w:type="dxa"/>
              <w:bottom w:w="14" w:type="dxa"/>
              <w:right w:w="115" w:type="dxa"/>
            </w:tcMar>
          </w:tcPr>
          <w:p w14:paraId="0FDBAFCE" w14:textId="129D3D2C" w:rsidR="000E22FD" w:rsidRPr="00767A66" w:rsidRDefault="000E22FD" w:rsidP="00D31F26">
            <w:pPr>
              <w:pStyle w:val="ListAlpha"/>
              <w:rPr>
                <w:lang w:val="es-ES"/>
              </w:rPr>
            </w:pPr>
            <w:r>
              <w:rPr>
                <w:lang w:val="es"/>
              </w:rPr>
              <w:lastRenderedPageBreak/>
              <w:t xml:space="preserve">1. Desafío relativo a la cantidad, distribución y calidad de la atención proporcionada por trabajadores sanitarios, incluidos los trabajadores de salud comunitarios, para la gestión de casos en el ámbito de la atención primaria de salud y en la comunidad. </w:t>
            </w:r>
          </w:p>
          <w:p w14:paraId="79F427B5" w14:textId="4201307A" w:rsidR="000E22FD" w:rsidRPr="00767A66" w:rsidRDefault="000E22FD" w:rsidP="00D31F26">
            <w:pPr>
              <w:pStyle w:val="ListAlpha"/>
              <w:rPr>
                <w:lang w:val="es-ES"/>
              </w:rPr>
            </w:pPr>
            <w:r>
              <w:rPr>
                <w:lang w:val="es"/>
              </w:rPr>
              <w:t xml:space="preserve">2. Desafíos relativos a a) la gestión de la cadena de suministros, el monitoreo de la </w:t>
            </w:r>
            <w:r>
              <w:rPr>
                <w:lang w:val="es"/>
              </w:rPr>
              <w:lastRenderedPageBreak/>
              <w:t xml:space="preserve">calidad de los productos y de la resistencia (aplicable a mosquiteros tratados con insecticida, PDR y TCA) y b) preparación y distribución del último tramo de TCA y PDR para los trabajadores de salud comunitarios. </w:t>
            </w:r>
          </w:p>
          <w:p w14:paraId="058F2557" w14:textId="6BFE0829" w:rsidR="000E22FD" w:rsidRPr="00767A66" w:rsidRDefault="000E22FD" w:rsidP="00D31F26">
            <w:pPr>
              <w:pStyle w:val="ListAlpha"/>
              <w:rPr>
                <w:lang w:val="es-ES"/>
              </w:rPr>
            </w:pPr>
            <w:r>
              <w:rPr>
                <w:lang w:val="es"/>
              </w:rPr>
              <w:t>3. Necesidad de mejorar y desarrollar las herramientas y los procesos de vigilancia y recopilación de datos relativos a la malaria para permitir una mejora permanente de la calidad y una vigilancia precisa. </w:t>
            </w:r>
          </w:p>
        </w:tc>
      </w:tr>
    </w:tbl>
    <w:p w14:paraId="00E143EC" w14:textId="77777777" w:rsidR="00272AC1" w:rsidRPr="00767A66" w:rsidRDefault="00272AC1" w:rsidP="000E22FD">
      <w:pPr>
        <w:spacing w:line="240" w:lineRule="auto"/>
        <w:rPr>
          <w:rFonts w:eastAsia="Calibri" w:cs="Arial"/>
          <w:b/>
          <w:bCs/>
          <w:sz w:val="22"/>
          <w:lang w:val="es-ES"/>
        </w:rPr>
      </w:pPr>
    </w:p>
    <w:p w14:paraId="4F8A3D7A" w14:textId="5A9BED68" w:rsidR="000E22FD" w:rsidRPr="00767A66" w:rsidRDefault="000E22FD" w:rsidP="000E22FD">
      <w:pPr>
        <w:spacing w:line="240" w:lineRule="auto"/>
        <w:rPr>
          <w:rFonts w:eastAsia="Calibri" w:cs="Arial"/>
          <w:b/>
          <w:bCs/>
          <w:sz w:val="22"/>
          <w:lang w:val="es-ES"/>
        </w:rPr>
      </w:pPr>
      <w:r>
        <w:rPr>
          <w:rFonts w:eastAsia="Calibri" w:cs="Arial"/>
          <w:b/>
          <w:bCs/>
          <w:sz w:val="22"/>
          <w:lang w:val="es"/>
        </w:rPr>
        <w:t>Sección 2 – Prioridades transversales de los SSRS y el proceso de priorización</w:t>
      </w:r>
    </w:p>
    <w:p w14:paraId="47EC3B4C" w14:textId="4272EC45" w:rsidR="00B3224A" w:rsidRPr="00767A66" w:rsidRDefault="00BE1780" w:rsidP="000E22FD">
      <w:pPr>
        <w:spacing w:line="240" w:lineRule="auto"/>
        <w:jc w:val="both"/>
        <w:rPr>
          <w:rFonts w:eastAsia="Calibri" w:cs="Arial"/>
          <w:sz w:val="22"/>
          <w:lang w:val="es-ES"/>
        </w:rPr>
      </w:pPr>
      <w:r>
        <w:rPr>
          <w:rFonts w:eastAsia="Calibri" w:cs="Arial"/>
          <w:sz w:val="22"/>
          <w:lang w:val="es"/>
        </w:rPr>
        <w:t>En función del análisis anterior, las partes interesadas en las enfermedades y los SSRS deben reunirse y actuar de manera conjunta para priorizar las áreas transversales de los SSRS que desean incluir en cada solicitud de financiamiento. Los resultados de esta reunión se deben describir en esta sección según se indica a continuación.</w:t>
      </w:r>
    </w:p>
    <w:p w14:paraId="2CD0B82D" w14:textId="2DF1C493" w:rsidR="00A4138F" w:rsidRPr="00767A66" w:rsidRDefault="00F56EBF" w:rsidP="67013372">
      <w:pPr>
        <w:spacing w:line="240" w:lineRule="auto"/>
        <w:jc w:val="both"/>
        <w:rPr>
          <w:rFonts w:eastAsia="Calibri" w:cs="Arial"/>
          <w:sz w:val="22"/>
          <w:lang w:val="es-ES"/>
        </w:rPr>
      </w:pPr>
      <w:r>
        <w:rPr>
          <w:rFonts w:eastAsia="Calibri" w:cs="Arial"/>
          <w:sz w:val="22"/>
          <w:lang w:val="es"/>
        </w:rPr>
        <w:t xml:space="preserve">En primer lugar, resumir de forma breve qué áreas de los SSRS se han priorizado en las enfermedades para su inclusión en las solicitudes de financiamiento. En general, los solicitantes deben priorizar solo un número reducido de áreas y asegurarse de que estén bien diseñadas y cuenten con el financiamiento adecuado. Asegúrese de ubicar las áreas en los módulos de SSRS correspondientes, ya que es importante que estas se clasifiquen dentro de los módulos e intervenciones correctos. Las intervenciones, las actividades y la alineación con los enfoques críticos relevantes para los sistemas de gestión de laboratorios, recursos humanos y productos sanitarios se deben explicar de forma completa en la solicitud de financiamiento. </w:t>
      </w:r>
    </w:p>
    <w:p w14:paraId="0F70EFCC" w14:textId="220BD579" w:rsidR="00F56EBF" w:rsidRPr="00767A66" w:rsidRDefault="00F56EBF" w:rsidP="67013372">
      <w:pPr>
        <w:spacing w:line="240" w:lineRule="auto"/>
        <w:jc w:val="both"/>
        <w:rPr>
          <w:rFonts w:eastAsia="Calibri" w:cs="Arial"/>
          <w:sz w:val="22"/>
          <w:lang w:val="es-ES"/>
        </w:rPr>
      </w:pPr>
      <w:r>
        <w:rPr>
          <w:rFonts w:eastAsia="Calibri" w:cs="Arial"/>
          <w:sz w:val="22"/>
          <w:lang w:val="es"/>
        </w:rPr>
        <w:t xml:space="preserve">En segundo lugar, es necesario explicar por qué se han priorizado estas áreas y cómo apoyan los programas de las enfermedades. Esto puede incluir posibles sinergias entre las diferentes áreas (por ejemplo, de qué modo pueden complementarse los recursos humanos para la salud y los sistemas de monitoreo y evaluación). Los solicitantes también deben considerar cómo la prestación integrada de servicios, la mayor participación del sector privado y los sistemas de salud digitales pueden reforzar los programas de las enfermedades y la atención primaria de salud. </w:t>
      </w:r>
    </w:p>
    <w:p w14:paraId="5989967D" w14:textId="77777777" w:rsidR="00C47403" w:rsidRPr="00767A66" w:rsidRDefault="00F56EBF" w:rsidP="67013372">
      <w:pPr>
        <w:spacing w:line="240" w:lineRule="auto"/>
        <w:jc w:val="both"/>
        <w:rPr>
          <w:rFonts w:eastAsia="Calibri" w:cs="Arial"/>
          <w:sz w:val="22"/>
          <w:lang w:val="es-ES"/>
        </w:rPr>
      </w:pPr>
      <w:r>
        <w:rPr>
          <w:rFonts w:eastAsia="Calibri" w:cs="Arial"/>
          <w:sz w:val="22"/>
          <w:lang w:val="es"/>
        </w:rPr>
        <w:t xml:space="preserve">En tercer lugar, explicar el proceso que se siguió para priorizar estas áreas. Por ejemplo, se celebraron una o más reuniones, y entre las partes interesadas se encontraban colegas relevantes que trabajan en torno al VIH, la tuberculosis, la malaria y los SSRS. Si es necesario, se pueden adjuntar las actas de estas reuniones. </w:t>
      </w:r>
    </w:p>
    <w:p w14:paraId="30FB9EC2" w14:textId="4FD0B478" w:rsidR="00EC3559" w:rsidRPr="00767A66" w:rsidRDefault="00F56EBF" w:rsidP="67013372">
      <w:pPr>
        <w:spacing w:line="240" w:lineRule="auto"/>
        <w:jc w:val="both"/>
        <w:rPr>
          <w:rFonts w:eastAsia="Calibri" w:cs="Arial"/>
          <w:sz w:val="22"/>
          <w:lang w:val="es-ES"/>
        </w:rPr>
      </w:pPr>
      <w:r>
        <w:rPr>
          <w:rFonts w:eastAsia="Calibri" w:cs="Arial"/>
          <w:sz w:val="22"/>
          <w:lang w:val="es"/>
        </w:rPr>
        <w:t xml:space="preserve">Por último, explicar de qué modo estas prioridades se alinean con las incluidas en el plan nacional de salud y otras políticas y estrategias nacionales, por ejemplo, los sistemas comunitarios, los recursos humanos para la salud, la calidad de la atención, la gestión de los productos sanitarios, el financiamiento de la salud, las políticas de laboratorio o del sector privado. </w:t>
      </w:r>
    </w:p>
    <w:p w14:paraId="4AA7F593" w14:textId="6EE10976" w:rsidR="000E22FD" w:rsidRPr="00767A66" w:rsidRDefault="000E22FD" w:rsidP="000E22FD">
      <w:pPr>
        <w:spacing w:line="240" w:lineRule="auto"/>
        <w:jc w:val="both"/>
        <w:rPr>
          <w:rFonts w:eastAsia="Calibri" w:cs="Arial"/>
          <w:sz w:val="22"/>
          <w:lang w:val="es-ES"/>
        </w:rPr>
      </w:pPr>
      <w:r>
        <w:rPr>
          <w:rFonts w:eastAsia="Calibri" w:cs="Arial"/>
          <w:sz w:val="22"/>
          <w:lang w:val="es"/>
        </w:rPr>
        <w:t xml:space="preserve"> A </w:t>
      </w:r>
      <w:proofErr w:type="gramStart"/>
      <w:r>
        <w:rPr>
          <w:rFonts w:eastAsia="Calibri" w:cs="Arial"/>
          <w:sz w:val="22"/>
          <w:lang w:val="es"/>
        </w:rPr>
        <w:t>continuación</w:t>
      </w:r>
      <w:proofErr w:type="gramEnd"/>
      <w:r>
        <w:rPr>
          <w:rFonts w:eastAsia="Calibri" w:cs="Arial"/>
          <w:sz w:val="22"/>
          <w:lang w:val="es"/>
        </w:rPr>
        <w:t xml:space="preserve"> se ofrece un ejemplo ilustrativo:</w:t>
      </w:r>
    </w:p>
    <w:tbl>
      <w:tblPr>
        <w:tblStyle w:val="TableGrid20"/>
        <w:tblW w:w="9715" w:type="dxa"/>
        <w:tblLook w:val="04A0" w:firstRow="1" w:lastRow="0" w:firstColumn="1" w:lastColumn="0" w:noHBand="0" w:noVBand="1"/>
      </w:tblPr>
      <w:tblGrid>
        <w:gridCol w:w="9715"/>
      </w:tblGrid>
      <w:tr w:rsidR="000E22FD" w:rsidRPr="00F904A1" w14:paraId="0FD67472" w14:textId="77777777" w:rsidTr="67013372">
        <w:tc>
          <w:tcPr>
            <w:tcW w:w="9715" w:type="dxa"/>
            <w:tcMar>
              <w:top w:w="14" w:type="dxa"/>
              <w:left w:w="115" w:type="dxa"/>
              <w:bottom w:w="14" w:type="dxa"/>
              <w:right w:w="115" w:type="dxa"/>
            </w:tcMar>
          </w:tcPr>
          <w:p w14:paraId="5694A31E" w14:textId="545C13BB" w:rsidR="001C77EF" w:rsidRPr="00767A66" w:rsidRDefault="000E22FD" w:rsidP="00D31F26">
            <w:pPr>
              <w:pStyle w:val="ListAlpha"/>
              <w:rPr>
                <w:lang w:val="es-ES"/>
              </w:rPr>
            </w:pPr>
            <w:r>
              <w:rPr>
                <w:lang w:val="es"/>
              </w:rPr>
              <w:t xml:space="preserve">En función del análisis anterior y de tres debates posteriores organizados por el Mecanismo de Coordinación de País (MCP) entre las partes interesadas en los programas de las enfermedades y los SSRS, el MCP decidió centrar esta solicitud de financiamiento en las siguientes áreas: recursos humanos para la salud (incluidos los trabajadores de salud comunitarios), </w:t>
            </w:r>
            <w:r>
              <w:rPr>
                <w:lang w:val="es"/>
              </w:rPr>
              <w:lastRenderedPageBreak/>
              <w:t xml:space="preserve">fortalecimiento de los sistemas comunitarios, sistemas de laboratorio y sistemas de gestión de productos sanitarios. Las partes interesadas incluían a los directores de las áreas pertinentes del Ministerio de Salud, incluidos el </w:t>
            </w:r>
            <w:proofErr w:type="gramStart"/>
            <w:r>
              <w:rPr>
                <w:lang w:val="es"/>
              </w:rPr>
              <w:t>Director Nacional</w:t>
            </w:r>
            <w:proofErr w:type="gramEnd"/>
            <w:r>
              <w:rPr>
                <w:lang w:val="es"/>
              </w:rPr>
              <w:t xml:space="preserve"> de Laboratorios, el Director de Recursos Humanos para la Salud, el Director del Sistema de Información sobre la Gestión Sanitaria, el Director de Calidad de la Atención, además de representantes del sector privado, órganos profesionales y representantes de trabajadores de salud comunitarios.</w:t>
            </w:r>
          </w:p>
          <w:p w14:paraId="3849AFD3" w14:textId="43052679" w:rsidR="00E54C0A" w:rsidRPr="00767A66" w:rsidRDefault="00E54C0A" w:rsidP="00D31F26">
            <w:pPr>
              <w:pStyle w:val="ListAlpha"/>
              <w:rPr>
                <w:lang w:val="es-ES"/>
              </w:rPr>
            </w:pPr>
          </w:p>
          <w:p w14:paraId="2CE6E438" w14:textId="55B3C98D" w:rsidR="001568FA" w:rsidRPr="00767A66" w:rsidRDefault="000E22FD" w:rsidP="00D31F26">
            <w:pPr>
              <w:pStyle w:val="ListAlpha"/>
              <w:rPr>
                <w:lang w:val="es-ES"/>
              </w:rPr>
            </w:pPr>
            <w:r>
              <w:rPr>
                <w:lang w:val="es"/>
              </w:rPr>
              <w:t xml:space="preserve">Las discusiones consideraron la ventaja comparativa del Fondo Mundial y la futura coordinación con otros asociados para el desarrollo en este trabajo. Se seleccionaron los recursos humanos para la salud y la calidad de la atención para los trabajadores de salud comunitarios, ya que el asociado x apoyó la definición de modelos de prestación de servicios y el desarrollo de protocolos de atención, y esto podría aprovecharse todavía más mediante la identificación de deficiencias de competencias clave entre los recursos humanos para la salud a nivel de instalaciones y de la comunidad. El financiamiento fortalecerá los procesos de planificación y mejora de la calidad vinculados a una supervisión de apoyo integrada a fin de mejorar la calidad de la atención para las tres enfermedades. </w:t>
            </w:r>
          </w:p>
          <w:p w14:paraId="6A60607B" w14:textId="77777777" w:rsidR="001568FA" w:rsidRPr="00767A66" w:rsidRDefault="001568FA" w:rsidP="00D31F26">
            <w:pPr>
              <w:pStyle w:val="ListAlpha"/>
              <w:rPr>
                <w:lang w:val="es-ES"/>
              </w:rPr>
            </w:pPr>
          </w:p>
          <w:p w14:paraId="567BE0F7" w14:textId="0AC74932" w:rsidR="003B4617" w:rsidRPr="00767A66" w:rsidRDefault="003B4617" w:rsidP="00D31F26">
            <w:pPr>
              <w:pStyle w:val="ListAlpha"/>
              <w:rPr>
                <w:lang w:val="es-ES"/>
              </w:rPr>
            </w:pPr>
            <w:r>
              <w:rPr>
                <w:lang w:val="es"/>
              </w:rPr>
              <w:t xml:space="preserve">También se seleccionaron los laboratorios, el fortalecimiento de los sistemas comunitarios y los sistemas de gestión de productos sanitarios, ya que en todas estas áreas existen obstáculos para los programas de las tres enfermedades que deben abordarse. Los laboratorios se centrarán en xyz, el fortalecimiento de los sistemas comunitarios se centrará en abc y la gestión de productos sanitarios se centrará en xyz, con el objetivo de mejorar abc y fortalecer los programas de las enfermedades. </w:t>
            </w:r>
          </w:p>
          <w:p w14:paraId="17D04A1F" w14:textId="77777777" w:rsidR="003B4617" w:rsidRPr="00767A66" w:rsidRDefault="003B4617" w:rsidP="00D31F26">
            <w:pPr>
              <w:pStyle w:val="ListAlpha"/>
              <w:rPr>
                <w:lang w:val="es-ES"/>
              </w:rPr>
            </w:pPr>
          </w:p>
          <w:p w14:paraId="5DA719CB" w14:textId="24410657" w:rsidR="001C77EF" w:rsidRPr="00767A66" w:rsidRDefault="001C77EF" w:rsidP="00D31F26">
            <w:pPr>
              <w:pStyle w:val="ListAlpha"/>
              <w:rPr>
                <w:lang w:val="es-ES"/>
              </w:rPr>
            </w:pPr>
            <w:r>
              <w:rPr>
                <w:lang w:val="es"/>
              </w:rPr>
              <w:t xml:space="preserve">La solicitud está vinculada a las principales prioridades expuestas en las páginas x-x del plan estratégico nacional de salud y a las prioridades expuestas en las páginas x-x del plan estratégico de las direcciones nacionales de laboratorio, en las páginas x-x del plan nacional de recursos humanos para la salud y en las páginas x-x del plan nacional de la cadena de suministros (todas ellas adjuntas). </w:t>
            </w:r>
          </w:p>
          <w:p w14:paraId="2884F5CD" w14:textId="0F29F383" w:rsidR="000E22FD" w:rsidRPr="00767A66" w:rsidRDefault="000E22FD" w:rsidP="00D31F26">
            <w:pPr>
              <w:pStyle w:val="ListAlpha"/>
              <w:rPr>
                <w:lang w:val="es-ES"/>
              </w:rPr>
            </w:pPr>
          </w:p>
        </w:tc>
      </w:tr>
    </w:tbl>
    <w:p w14:paraId="3FD9A98C" w14:textId="77777777" w:rsidR="001E3C65" w:rsidRPr="00767A66" w:rsidRDefault="001E3C65" w:rsidP="000E22FD">
      <w:pPr>
        <w:spacing w:line="240" w:lineRule="auto"/>
        <w:rPr>
          <w:rFonts w:eastAsia="Calibri" w:cs="Arial"/>
          <w:b/>
          <w:bCs/>
          <w:sz w:val="22"/>
          <w:lang w:val="es-ES"/>
        </w:rPr>
      </w:pPr>
    </w:p>
    <w:p w14:paraId="2F6DDBBC" w14:textId="1BFA5A30" w:rsidR="000E22FD" w:rsidRPr="00767A66" w:rsidRDefault="000E22FD" w:rsidP="000E22FD">
      <w:pPr>
        <w:spacing w:line="240" w:lineRule="auto"/>
        <w:rPr>
          <w:rFonts w:eastAsia="Calibri" w:cs="Arial"/>
          <w:b/>
          <w:bCs/>
          <w:sz w:val="22"/>
          <w:lang w:val="es-ES"/>
        </w:rPr>
      </w:pPr>
      <w:r>
        <w:rPr>
          <w:rFonts w:eastAsia="Calibri" w:cs="Arial"/>
          <w:b/>
          <w:bCs/>
          <w:sz w:val="22"/>
          <w:lang w:val="es"/>
        </w:rPr>
        <w:t>Sección 3: Análisis del déficit de financiamiento</w:t>
      </w:r>
    </w:p>
    <w:p w14:paraId="55870D88" w14:textId="77777777" w:rsidR="00A91688" w:rsidRPr="00767A66" w:rsidRDefault="00422C0E" w:rsidP="003945D9">
      <w:pPr>
        <w:spacing w:line="240" w:lineRule="auto"/>
        <w:jc w:val="both"/>
        <w:rPr>
          <w:rFonts w:eastAsia="Calibri" w:cs="Arial"/>
          <w:sz w:val="22"/>
          <w:lang w:val="es-ES"/>
        </w:rPr>
      </w:pPr>
      <w:r>
        <w:rPr>
          <w:rFonts w:eastAsia="Calibri" w:cs="Arial"/>
          <w:sz w:val="22"/>
          <w:lang w:val="es"/>
        </w:rPr>
        <w:t xml:space="preserve">Completar la tabla del panorama de financiamiento que se muestra a continuación para los módulos de SSRS pertinentes que representan los principales costos incluidos en la solicitud de financiamiento. Como alternativa, los solicitantes pueden incluir la tabla del análisis del déficit de financiamiento utilizando su propio formato si ya disponen de uno (por ejemplo, utilizando las tablas de costos de las estrategias nacionales presupuestadas). </w:t>
      </w:r>
    </w:p>
    <w:p w14:paraId="222891E5" w14:textId="77777777" w:rsidR="00E96FAE" w:rsidRPr="00767A66" w:rsidRDefault="000E22FD" w:rsidP="003E6914">
      <w:pPr>
        <w:shd w:val="clear" w:color="auto" w:fill="FFFFFF"/>
        <w:rPr>
          <w:rFonts w:eastAsia="Calibri" w:cs="Arial"/>
          <w:sz w:val="22"/>
          <w:lang w:val="es-ES"/>
        </w:rPr>
      </w:pPr>
      <w:r>
        <w:rPr>
          <w:rFonts w:eastAsia="Calibri" w:cs="Arial"/>
          <w:sz w:val="22"/>
          <w:lang w:val="es"/>
        </w:rPr>
        <w:t xml:space="preserve">El propósito consiste en analizar el panorama de financiamiento y las deficiencias financieras para los módulos clave (y las intervenciones si se dispone de datos) y demostrar cómo las inversiones del Fondo Mundial ayudarán a abordar el déficit de financiamiento. </w:t>
      </w:r>
    </w:p>
    <w:p w14:paraId="235F7576" w14:textId="37EBF6BA" w:rsidR="00E96FAE" w:rsidRPr="00767A66" w:rsidRDefault="000B5588" w:rsidP="003E6914">
      <w:pPr>
        <w:shd w:val="clear" w:color="auto" w:fill="FFFFFF"/>
        <w:rPr>
          <w:rFonts w:eastAsia="Calibri" w:cs="Arial"/>
          <w:sz w:val="22"/>
          <w:lang w:val="es-ES"/>
        </w:rPr>
      </w:pPr>
      <w:r>
        <w:rPr>
          <w:rFonts w:eastAsia="Calibri" w:cs="Arial"/>
          <w:sz w:val="22"/>
          <w:lang w:val="es"/>
        </w:rPr>
        <w:t xml:space="preserve">Como parte de la solicitud de financiamiento, estas tablas deben alinearse con la siguiente información y complementarla. </w:t>
      </w:r>
    </w:p>
    <w:p w14:paraId="4AE9A87D" w14:textId="03704900" w:rsidR="00E96FAE" w:rsidRPr="00767A66" w:rsidRDefault="00A91688" w:rsidP="00827DEC">
      <w:pPr>
        <w:pStyle w:val="ListParagraph"/>
        <w:numPr>
          <w:ilvl w:val="0"/>
          <w:numId w:val="23"/>
        </w:numPr>
        <w:shd w:val="clear" w:color="auto" w:fill="FFFFFF"/>
        <w:rPr>
          <w:rFonts w:eastAsia="Calibri" w:cs="Arial"/>
          <w:sz w:val="22"/>
          <w:lang w:val="es-ES"/>
        </w:rPr>
      </w:pPr>
      <w:r>
        <w:rPr>
          <w:rFonts w:eastAsia="Calibri" w:cs="Arial"/>
          <w:sz w:val="22"/>
          <w:lang w:val="es"/>
        </w:rPr>
        <w:t xml:space="preserve">Si corresponde, debe asegurarse la consistencia de los datos proporcionados en el anexo de SSRS con los datos incluidos en las tablas detalladas de deficiencias de la plantilla del </w:t>
      </w:r>
      <w:r>
        <w:rPr>
          <w:rFonts w:eastAsia="Calibri" w:cs="Arial"/>
          <w:sz w:val="22"/>
          <w:lang w:val="es"/>
        </w:rPr>
        <w:lastRenderedPageBreak/>
        <w:t xml:space="preserve">panorama de financiamiento o en los compromisos de cofinanciamiento para los SSRS incluidos en la plantilla del panorama de financiamiento, en la solicitud de financiamiento o en la carta de compromiso. </w:t>
      </w:r>
    </w:p>
    <w:p w14:paraId="5D354537" w14:textId="7C52F087" w:rsidR="00E96FAE" w:rsidRPr="00767A66" w:rsidRDefault="0076577A" w:rsidP="00827DEC">
      <w:pPr>
        <w:pStyle w:val="ListParagraph"/>
        <w:numPr>
          <w:ilvl w:val="0"/>
          <w:numId w:val="23"/>
        </w:numPr>
        <w:shd w:val="clear" w:color="auto" w:fill="FFFFFF"/>
        <w:rPr>
          <w:rFonts w:eastAsia="Calibri" w:cs="Arial"/>
          <w:sz w:val="22"/>
          <w:lang w:val="es-ES"/>
        </w:rPr>
      </w:pPr>
      <w:r>
        <w:rPr>
          <w:rFonts w:eastAsia="Calibri" w:cs="Arial"/>
          <w:sz w:val="22"/>
          <w:lang w:val="es"/>
        </w:rPr>
        <w:t>El análisis del déficit de financiamiento debe incluir la asignación del Fondo Mundial y el financiamiento del C19RM, según corresponda.</w:t>
      </w:r>
    </w:p>
    <w:p w14:paraId="44922B3B" w14:textId="4AC66DCE" w:rsidR="003E6914" w:rsidRPr="00767A66" w:rsidRDefault="003E6914">
      <w:pPr>
        <w:pStyle w:val="ListParagraph"/>
        <w:numPr>
          <w:ilvl w:val="0"/>
          <w:numId w:val="23"/>
        </w:numPr>
        <w:shd w:val="clear" w:color="auto" w:fill="FFFFFF"/>
        <w:rPr>
          <w:rFonts w:eastAsia="Calibri" w:cs="Arial"/>
          <w:sz w:val="22"/>
          <w:lang w:val="es-ES"/>
        </w:rPr>
      </w:pPr>
      <w:r>
        <w:rPr>
          <w:rFonts w:eastAsia="Calibri" w:cs="Arial"/>
          <w:sz w:val="22"/>
          <w:lang w:val="es"/>
        </w:rPr>
        <w:t>El análisis de las tablas de deficiencias programáticas de los trabajadores de salud comunitarios debe servir para respaldar el cálculo de costos del déficit de financiamiento de estos trabajadores en el anexo dedicado a los SSRS.</w:t>
      </w:r>
    </w:p>
    <w:p w14:paraId="022AE59C" w14:textId="39017A76" w:rsidR="007E1AF8" w:rsidRPr="00767A66" w:rsidRDefault="007E1AF8" w:rsidP="00827DEC">
      <w:pPr>
        <w:pStyle w:val="ListParagraph"/>
        <w:numPr>
          <w:ilvl w:val="0"/>
          <w:numId w:val="23"/>
        </w:numPr>
        <w:shd w:val="clear" w:color="auto" w:fill="FFFFFF"/>
        <w:rPr>
          <w:rFonts w:eastAsia="Calibri" w:cs="Arial"/>
          <w:sz w:val="22"/>
          <w:lang w:val="es-ES"/>
        </w:rPr>
      </w:pPr>
      <w:r>
        <w:rPr>
          <w:rFonts w:eastAsia="Calibri" w:cs="Arial"/>
          <w:sz w:val="22"/>
          <w:lang w:val="es"/>
        </w:rPr>
        <w:t xml:space="preserve">Se deben incluir los supuestos y las fuentes de datos. </w:t>
      </w:r>
    </w:p>
    <w:p w14:paraId="4AED26FC" w14:textId="4C1C8E5D" w:rsidR="000E22FD" w:rsidRPr="00767A66" w:rsidRDefault="005736CC" w:rsidP="000E22FD">
      <w:pPr>
        <w:spacing w:line="240" w:lineRule="auto"/>
        <w:jc w:val="both"/>
        <w:rPr>
          <w:rFonts w:eastAsia="Calibri" w:cs="Arial"/>
          <w:sz w:val="22"/>
          <w:lang w:val="es-ES"/>
        </w:rPr>
      </w:pPr>
      <w:r>
        <w:rPr>
          <w:rFonts w:eastAsia="Calibri" w:cs="Arial"/>
          <w:sz w:val="22"/>
          <w:lang w:val="es"/>
        </w:rPr>
        <w:t>El siguiente cuadro ofrece ejemplos ilustrativos:</w:t>
      </w:r>
    </w:p>
    <w:tbl>
      <w:tblPr>
        <w:tblStyle w:val="TableGrid20"/>
        <w:tblW w:w="9715" w:type="dxa"/>
        <w:tblLayout w:type="fixed"/>
        <w:tblLook w:val="04A0" w:firstRow="1" w:lastRow="0" w:firstColumn="1" w:lastColumn="0" w:noHBand="0" w:noVBand="1"/>
      </w:tblPr>
      <w:tblGrid>
        <w:gridCol w:w="1555"/>
        <w:gridCol w:w="1559"/>
        <w:gridCol w:w="6601"/>
      </w:tblGrid>
      <w:tr w:rsidR="00A44797" w:rsidRPr="00F904A1" w14:paraId="21971509" w14:textId="77777777" w:rsidTr="00D31F26">
        <w:tc>
          <w:tcPr>
            <w:tcW w:w="1555" w:type="dxa"/>
            <w:shd w:val="clear" w:color="auto" w:fill="939393" w:themeFill="text2"/>
            <w:tcMar>
              <w:top w:w="14" w:type="dxa"/>
              <w:left w:w="115" w:type="dxa"/>
              <w:bottom w:w="14" w:type="dxa"/>
              <w:right w:w="115" w:type="dxa"/>
            </w:tcMar>
          </w:tcPr>
          <w:p w14:paraId="06FD689E" w14:textId="77777777" w:rsidR="000E22FD" w:rsidRPr="00864AAE" w:rsidRDefault="000E22FD" w:rsidP="00D31F26">
            <w:pPr>
              <w:pStyle w:val="ListAlpha"/>
            </w:pPr>
            <w:r>
              <w:rPr>
                <w:lang w:val="es"/>
              </w:rPr>
              <w:t>Módulo</w:t>
            </w:r>
          </w:p>
        </w:tc>
        <w:tc>
          <w:tcPr>
            <w:tcW w:w="1559" w:type="dxa"/>
            <w:shd w:val="clear" w:color="auto" w:fill="939393" w:themeFill="text2"/>
            <w:tcMar>
              <w:top w:w="14" w:type="dxa"/>
              <w:left w:w="115" w:type="dxa"/>
              <w:bottom w:w="14" w:type="dxa"/>
              <w:right w:w="115" w:type="dxa"/>
            </w:tcMar>
          </w:tcPr>
          <w:p w14:paraId="42A32B6C" w14:textId="2B7D4156" w:rsidR="000E22FD" w:rsidRPr="00864AAE" w:rsidRDefault="000E22FD" w:rsidP="00D31F26">
            <w:pPr>
              <w:pStyle w:val="ListAlpha"/>
            </w:pPr>
            <w:r>
              <w:rPr>
                <w:lang w:val="es"/>
              </w:rPr>
              <w:t xml:space="preserve">Intervención </w:t>
            </w:r>
          </w:p>
        </w:tc>
        <w:tc>
          <w:tcPr>
            <w:tcW w:w="6601" w:type="dxa"/>
            <w:shd w:val="clear" w:color="auto" w:fill="939393" w:themeFill="text2"/>
            <w:tcMar>
              <w:top w:w="14" w:type="dxa"/>
              <w:left w:w="115" w:type="dxa"/>
              <w:bottom w:w="14" w:type="dxa"/>
              <w:right w:w="115" w:type="dxa"/>
            </w:tcMar>
          </w:tcPr>
          <w:p w14:paraId="08C5A6A7" w14:textId="77777777" w:rsidR="000E22FD" w:rsidRPr="00767A66" w:rsidRDefault="000E22FD" w:rsidP="00D31F26">
            <w:pPr>
              <w:pStyle w:val="ListAlpha"/>
              <w:rPr>
                <w:lang w:val="es-ES"/>
              </w:rPr>
            </w:pPr>
            <w:r>
              <w:rPr>
                <w:lang w:val="es"/>
              </w:rPr>
              <w:t xml:space="preserve">Análisis del déficit de financiamiento </w:t>
            </w:r>
          </w:p>
        </w:tc>
      </w:tr>
      <w:tr w:rsidR="000E22FD" w:rsidRPr="00F904A1" w14:paraId="2B3060CB" w14:textId="77777777" w:rsidTr="00D31F26">
        <w:tc>
          <w:tcPr>
            <w:tcW w:w="1555" w:type="dxa"/>
            <w:tcMar>
              <w:top w:w="14" w:type="dxa"/>
              <w:left w:w="115" w:type="dxa"/>
              <w:bottom w:w="14" w:type="dxa"/>
              <w:right w:w="115" w:type="dxa"/>
            </w:tcMar>
          </w:tcPr>
          <w:p w14:paraId="3C0EAEDF" w14:textId="0018F7E8" w:rsidR="000E22FD" w:rsidRPr="00A95C7D" w:rsidRDefault="000E22FD" w:rsidP="00D31F26">
            <w:pPr>
              <w:pStyle w:val="ListAlpha"/>
            </w:pPr>
            <w:r>
              <w:rPr>
                <w:lang w:val="es"/>
              </w:rPr>
              <w:t>Sistemas de laboratorio</w:t>
            </w:r>
          </w:p>
        </w:tc>
        <w:tc>
          <w:tcPr>
            <w:tcW w:w="1559" w:type="dxa"/>
            <w:tcMar>
              <w:top w:w="14" w:type="dxa"/>
              <w:left w:w="115" w:type="dxa"/>
              <w:bottom w:w="14" w:type="dxa"/>
              <w:right w:w="115" w:type="dxa"/>
            </w:tcMar>
          </w:tcPr>
          <w:p w14:paraId="1A57681F" w14:textId="01AFA099" w:rsidR="000E22FD" w:rsidRPr="00A95C7D" w:rsidRDefault="000E22FD" w:rsidP="00D31F26">
            <w:pPr>
              <w:pStyle w:val="ListAlpha"/>
            </w:pPr>
          </w:p>
        </w:tc>
        <w:tc>
          <w:tcPr>
            <w:tcW w:w="6601" w:type="dxa"/>
            <w:tcMar>
              <w:top w:w="14" w:type="dxa"/>
              <w:left w:w="115" w:type="dxa"/>
              <w:bottom w:w="14" w:type="dxa"/>
              <w:right w:w="115" w:type="dxa"/>
            </w:tcMar>
          </w:tcPr>
          <w:p w14:paraId="26422F33" w14:textId="77777777" w:rsidR="000E22FD" w:rsidRPr="00767A66" w:rsidRDefault="000E22FD" w:rsidP="00D31F26">
            <w:pPr>
              <w:pStyle w:val="ListAlpha"/>
              <w:rPr>
                <w:lang w:val="es-ES"/>
              </w:rPr>
            </w:pPr>
            <w:r>
              <w:rPr>
                <w:lang w:val="es"/>
              </w:rPr>
              <w:t>A. Monto total necesario: 30 millones (basado en la evaluación de laboratorios)</w:t>
            </w:r>
          </w:p>
          <w:p w14:paraId="54198B5F" w14:textId="737C986F" w:rsidR="000E22FD" w:rsidRPr="00767A66" w:rsidRDefault="000E22FD" w:rsidP="00D31F26">
            <w:pPr>
              <w:pStyle w:val="ListAlpha"/>
              <w:rPr>
                <w:lang w:val="es-ES"/>
              </w:rPr>
            </w:pPr>
            <w:r>
              <w:rPr>
                <w:lang w:val="es"/>
              </w:rPr>
              <w:t xml:space="preserve">B. Monto total financiado y por quién: 15 millones USD financiados por la UE, 2 millones USD financiados por el C19RM, más 3 millones USD de financiamiento nacional </w:t>
            </w:r>
          </w:p>
          <w:p w14:paraId="73049F2A" w14:textId="18B8C4A0" w:rsidR="000E22FD" w:rsidRPr="00767A66" w:rsidRDefault="000E22FD" w:rsidP="00D31F26">
            <w:pPr>
              <w:pStyle w:val="ListAlpha"/>
              <w:rPr>
                <w:lang w:val="es-ES"/>
              </w:rPr>
            </w:pPr>
            <w:r>
              <w:rPr>
                <w:lang w:val="es"/>
              </w:rPr>
              <w:t>C. Déficit (A-B): 10 millones USD</w:t>
            </w:r>
          </w:p>
          <w:p w14:paraId="135AFE6E" w14:textId="24FA0C8F" w:rsidR="000E22FD" w:rsidRPr="00767A66" w:rsidRDefault="000E22FD" w:rsidP="00D31F26">
            <w:pPr>
              <w:pStyle w:val="ListAlpha"/>
              <w:rPr>
                <w:lang w:val="es-ES"/>
              </w:rPr>
            </w:pPr>
            <w:r>
              <w:rPr>
                <w:lang w:val="es"/>
              </w:rPr>
              <w:t>D. Inversión del Fondo Mundial: 3 millones USD</w:t>
            </w:r>
          </w:p>
          <w:p w14:paraId="09296C0D" w14:textId="77777777" w:rsidR="000E22FD" w:rsidRPr="00767A66" w:rsidRDefault="000E22FD" w:rsidP="00D31F26">
            <w:pPr>
              <w:pStyle w:val="ListAlpha"/>
              <w:rPr>
                <w:lang w:val="es-ES"/>
              </w:rPr>
            </w:pPr>
            <w:r>
              <w:rPr>
                <w:lang w:val="es"/>
              </w:rPr>
              <w:t>E. Déficit restante (C-D): 7 millones USD</w:t>
            </w:r>
          </w:p>
          <w:p w14:paraId="665FBB50" w14:textId="34CC87C2" w:rsidR="00981034" w:rsidRPr="00767A66" w:rsidRDefault="007E1AF8" w:rsidP="00D31F26">
            <w:pPr>
              <w:pStyle w:val="ListAlpha"/>
              <w:rPr>
                <w:lang w:val="es-ES"/>
              </w:rPr>
            </w:pPr>
            <w:r>
              <w:rPr>
                <w:lang w:val="es"/>
              </w:rPr>
              <w:t>Supuestos: el financiamiento de la UE cubrirá 2 años y los compromisos del gobierno cubrirán 3 años.</w:t>
            </w:r>
          </w:p>
          <w:p w14:paraId="24DF724B" w14:textId="07167F33" w:rsidR="007E1AF8" w:rsidRPr="00767A66" w:rsidRDefault="002F042A" w:rsidP="00D31F26">
            <w:pPr>
              <w:pStyle w:val="ListAlpha"/>
              <w:rPr>
                <w:lang w:val="es-ES"/>
              </w:rPr>
            </w:pPr>
            <w:r>
              <w:rPr>
                <w:lang w:val="es"/>
              </w:rPr>
              <w:t xml:space="preserve">Fuentes de datos: UE, Ministerio de Finanzas, plan operativo de sistemas de laboratorio </w:t>
            </w:r>
          </w:p>
        </w:tc>
      </w:tr>
      <w:tr w:rsidR="000E22FD" w:rsidRPr="00F904A1" w14:paraId="10613082" w14:textId="77777777" w:rsidTr="00D31F26">
        <w:tc>
          <w:tcPr>
            <w:tcW w:w="1555" w:type="dxa"/>
            <w:tcMar>
              <w:top w:w="14" w:type="dxa"/>
              <w:left w:w="115" w:type="dxa"/>
              <w:bottom w:w="14" w:type="dxa"/>
              <w:right w:w="115" w:type="dxa"/>
            </w:tcMar>
          </w:tcPr>
          <w:p w14:paraId="79FE1266" w14:textId="5B9A05A6" w:rsidR="000E22FD" w:rsidRPr="00767A66" w:rsidRDefault="000E22FD" w:rsidP="00D31F26">
            <w:pPr>
              <w:pStyle w:val="ListAlpha"/>
              <w:rPr>
                <w:lang w:val="es-ES"/>
              </w:rPr>
            </w:pPr>
            <w:r>
              <w:rPr>
                <w:lang w:val="es"/>
              </w:rPr>
              <w:t xml:space="preserve">Sistemas de gestión de productos sanitarios </w:t>
            </w:r>
          </w:p>
        </w:tc>
        <w:tc>
          <w:tcPr>
            <w:tcW w:w="1559" w:type="dxa"/>
            <w:tcMar>
              <w:top w:w="14" w:type="dxa"/>
              <w:left w:w="115" w:type="dxa"/>
              <w:bottom w:w="14" w:type="dxa"/>
              <w:right w:w="115" w:type="dxa"/>
            </w:tcMar>
          </w:tcPr>
          <w:p w14:paraId="2314DE46" w14:textId="06CC6DD4" w:rsidR="000E22FD" w:rsidRPr="00767A66" w:rsidRDefault="000E22FD" w:rsidP="00D31F26">
            <w:pPr>
              <w:pStyle w:val="ListAlpha"/>
              <w:rPr>
                <w:lang w:val="es-ES"/>
              </w:rPr>
            </w:pPr>
            <w:r>
              <w:rPr>
                <w:lang w:val="es"/>
              </w:rPr>
              <w:t>Sistema sostenible de gestión de residuos sanitarios</w:t>
            </w:r>
          </w:p>
        </w:tc>
        <w:tc>
          <w:tcPr>
            <w:tcW w:w="6601" w:type="dxa"/>
            <w:tcMar>
              <w:top w:w="14" w:type="dxa"/>
              <w:left w:w="115" w:type="dxa"/>
              <w:bottom w:w="14" w:type="dxa"/>
              <w:right w:w="115" w:type="dxa"/>
            </w:tcMar>
          </w:tcPr>
          <w:p w14:paraId="729FE9C9" w14:textId="3CCA09D5" w:rsidR="000E22FD" w:rsidRPr="00767A66" w:rsidRDefault="000E22FD" w:rsidP="00D31F26">
            <w:pPr>
              <w:pStyle w:val="ListAlpha"/>
              <w:rPr>
                <w:lang w:val="es-ES"/>
              </w:rPr>
            </w:pPr>
            <w:r>
              <w:rPr>
                <w:lang w:val="es"/>
              </w:rPr>
              <w:t>A. Monto total necesario: 30 millones USD (basado en el Plan Estratégico Nacional para la gestión de residuos sanitarios)</w:t>
            </w:r>
          </w:p>
          <w:p w14:paraId="7BD8B35C" w14:textId="6EE7D1C4" w:rsidR="000E22FD" w:rsidRPr="00767A66" w:rsidRDefault="000E22FD" w:rsidP="00D31F26">
            <w:pPr>
              <w:pStyle w:val="ListAlpha"/>
              <w:rPr>
                <w:lang w:val="es-ES"/>
              </w:rPr>
            </w:pPr>
            <w:r>
              <w:rPr>
                <w:lang w:val="es"/>
              </w:rPr>
              <w:t>B. Monto total financiado y por quién: 10 millones USD (infraestructura) financiados por el Banco Mundial, 5 millones USD (infraestructura) por JICA, más de 5 millones USD mediante financiamiento nacional, incluida la asociación público-privada para la responsabilidad ampliada del productor.</w:t>
            </w:r>
          </w:p>
          <w:p w14:paraId="4365CDA1" w14:textId="3558B78D" w:rsidR="000E22FD" w:rsidRPr="00767A66" w:rsidRDefault="000E22FD" w:rsidP="00D31F26">
            <w:pPr>
              <w:pStyle w:val="ListAlpha"/>
              <w:rPr>
                <w:lang w:val="es-ES"/>
              </w:rPr>
            </w:pPr>
            <w:r>
              <w:rPr>
                <w:lang w:val="es"/>
              </w:rPr>
              <w:t>C. Déficit (A-B): 10 millones USD</w:t>
            </w:r>
          </w:p>
          <w:p w14:paraId="338E610C" w14:textId="5D2246C6" w:rsidR="000E22FD" w:rsidRPr="00767A66" w:rsidRDefault="000E22FD" w:rsidP="00D31F26">
            <w:pPr>
              <w:pStyle w:val="ListAlpha"/>
              <w:rPr>
                <w:lang w:val="es-ES"/>
              </w:rPr>
            </w:pPr>
            <w:r>
              <w:rPr>
                <w:lang w:val="es"/>
              </w:rPr>
              <w:t>D. Inversión del Fondo Mundial: US $3 millones (asistencia técnica)</w:t>
            </w:r>
          </w:p>
          <w:p w14:paraId="3A7F4DCF" w14:textId="5D2246C6" w:rsidR="000E22FD" w:rsidRPr="00767A66" w:rsidRDefault="000E22FD" w:rsidP="00D31F26">
            <w:pPr>
              <w:pStyle w:val="ListAlpha"/>
              <w:rPr>
                <w:lang w:val="es-ES"/>
              </w:rPr>
            </w:pPr>
            <w:r>
              <w:rPr>
                <w:lang w:val="es"/>
              </w:rPr>
              <w:t>E. Déficit restante (C-D): 7 millones USD</w:t>
            </w:r>
          </w:p>
          <w:p w14:paraId="6511CF1F" w14:textId="1F45C41D" w:rsidR="00851392" w:rsidRPr="00767A66" w:rsidRDefault="00851392" w:rsidP="00D31F26">
            <w:pPr>
              <w:pStyle w:val="ListAlpha"/>
              <w:rPr>
                <w:lang w:val="es-ES"/>
              </w:rPr>
            </w:pPr>
            <w:r>
              <w:rPr>
                <w:lang w:val="es"/>
              </w:rPr>
              <w:t>Supuestos: el financiamiento de JICA cubre 2 años; el financiamiento del Banco Mundial cubre 3 años.</w:t>
            </w:r>
          </w:p>
          <w:p w14:paraId="782DCEBD" w14:textId="1313EECF" w:rsidR="00851392" w:rsidRPr="00767A66" w:rsidRDefault="00851392" w:rsidP="00D31F26">
            <w:pPr>
              <w:pStyle w:val="ListAlpha"/>
              <w:rPr>
                <w:lang w:val="es-ES"/>
              </w:rPr>
            </w:pPr>
            <w:r>
              <w:rPr>
                <w:lang w:val="es"/>
              </w:rPr>
              <w:t>Fuentes de datos: JICA, el Banco Mundial, los presupuestos del gobierno, el Plan Estratégico Nacional para la gestión de residuos sanitarios</w:t>
            </w:r>
          </w:p>
        </w:tc>
      </w:tr>
      <w:tr w:rsidR="005F76C6" w:rsidRPr="00F904A1" w14:paraId="5991D535" w14:textId="77777777" w:rsidTr="00D31F26">
        <w:tc>
          <w:tcPr>
            <w:tcW w:w="1555" w:type="dxa"/>
            <w:tcMar>
              <w:top w:w="14" w:type="dxa"/>
              <w:left w:w="115" w:type="dxa"/>
              <w:bottom w:w="14" w:type="dxa"/>
              <w:right w:w="115" w:type="dxa"/>
            </w:tcMar>
          </w:tcPr>
          <w:p w14:paraId="178817A5" w14:textId="12AE4981" w:rsidR="005F76C6" w:rsidRPr="00767A66" w:rsidRDefault="005F76C6" w:rsidP="00D31F26">
            <w:pPr>
              <w:pStyle w:val="ListAlpha"/>
              <w:rPr>
                <w:lang w:val="es-ES"/>
              </w:rPr>
            </w:pPr>
            <w:r>
              <w:rPr>
                <w:lang w:val="es"/>
              </w:rPr>
              <w:t xml:space="preserve">Recursos humanos para la salud </w:t>
            </w:r>
          </w:p>
        </w:tc>
        <w:tc>
          <w:tcPr>
            <w:tcW w:w="1559" w:type="dxa"/>
            <w:tcMar>
              <w:top w:w="14" w:type="dxa"/>
              <w:left w:w="115" w:type="dxa"/>
              <w:bottom w:w="14" w:type="dxa"/>
              <w:right w:w="115" w:type="dxa"/>
            </w:tcMar>
          </w:tcPr>
          <w:p w14:paraId="5AFFDAB3" w14:textId="65C276B6" w:rsidR="005F76C6" w:rsidRPr="00767A66" w:rsidRDefault="005F76C6" w:rsidP="00D31F26">
            <w:pPr>
              <w:pStyle w:val="ListAlpha"/>
              <w:rPr>
                <w:lang w:val="es-ES"/>
              </w:rPr>
            </w:pPr>
            <w:r>
              <w:rPr>
                <w:lang w:val="es"/>
              </w:rPr>
              <w:t>Trabajadores de salud comunitarios: supervisión de apoyo integrada</w:t>
            </w:r>
          </w:p>
        </w:tc>
        <w:tc>
          <w:tcPr>
            <w:tcW w:w="6601" w:type="dxa"/>
            <w:tcMar>
              <w:top w:w="14" w:type="dxa"/>
              <w:left w:w="115" w:type="dxa"/>
              <w:bottom w:w="14" w:type="dxa"/>
              <w:right w:w="115" w:type="dxa"/>
            </w:tcMar>
          </w:tcPr>
          <w:p w14:paraId="0373B1A6" w14:textId="0A09D7AA" w:rsidR="00645B64" w:rsidRPr="00767A66" w:rsidRDefault="00645B64" w:rsidP="00D31F26">
            <w:pPr>
              <w:pStyle w:val="ListAlpha"/>
              <w:rPr>
                <w:lang w:val="es-ES"/>
              </w:rPr>
            </w:pPr>
            <w:r>
              <w:rPr>
                <w:lang w:val="es"/>
              </w:rPr>
              <w:t>A. Monto total necesario: 4 millones USD (8.000 trabajadores de salud comunitarios en función de las tablas de análisis de deficiencias programáticas de los trabajadores de salud comunitarios)</w:t>
            </w:r>
          </w:p>
          <w:p w14:paraId="0872E907" w14:textId="4CBEC5B6" w:rsidR="00645B64" w:rsidRPr="00767A66" w:rsidRDefault="00645B64" w:rsidP="00D31F26">
            <w:pPr>
              <w:pStyle w:val="ListAlpha"/>
              <w:rPr>
                <w:lang w:val="es-ES"/>
              </w:rPr>
            </w:pPr>
            <w:r>
              <w:rPr>
                <w:lang w:val="es"/>
              </w:rPr>
              <w:t xml:space="preserve">B. Monto total financiado y por quién: 1 millón USD financiado por FCDO del Reino Unido (500.000), más el financiamiento de </w:t>
            </w:r>
            <w:r>
              <w:rPr>
                <w:lang w:val="es"/>
              </w:rPr>
              <w:lastRenderedPageBreak/>
              <w:t>la primera fase del C19RM (500.000) (2.000 trabajadores de salud comunitarios en función de las tablas de análisis de deficiencias programáticas de los trabajadores de salud comunitarios)</w:t>
            </w:r>
          </w:p>
          <w:p w14:paraId="3B625C1A" w14:textId="2B268938" w:rsidR="00645B64" w:rsidRPr="00767A66" w:rsidRDefault="00645B64" w:rsidP="00D31F26">
            <w:pPr>
              <w:pStyle w:val="ListAlpha"/>
              <w:rPr>
                <w:lang w:val="es-ES"/>
              </w:rPr>
            </w:pPr>
            <w:r>
              <w:rPr>
                <w:lang w:val="es"/>
              </w:rPr>
              <w:t>C. Déficit (A-B): 3 millones USD</w:t>
            </w:r>
          </w:p>
          <w:p w14:paraId="477431E1" w14:textId="300303E3" w:rsidR="00645B64" w:rsidRPr="00767A66" w:rsidRDefault="00645B64" w:rsidP="00D31F26">
            <w:pPr>
              <w:pStyle w:val="ListAlpha"/>
              <w:rPr>
                <w:lang w:val="es-ES"/>
              </w:rPr>
            </w:pPr>
            <w:r>
              <w:rPr>
                <w:lang w:val="es"/>
              </w:rPr>
              <w:t>D. Inversión del Fondo Mundial: 2 millones USD (4.000 trabajadores de salud comunitarios en función de las tablas de análisis de deficiencias programáticas de los trabajadores de salud comunitarios)</w:t>
            </w:r>
          </w:p>
          <w:p w14:paraId="736EBD04" w14:textId="75357E96" w:rsidR="005F76C6" w:rsidRPr="00767A66" w:rsidRDefault="00645B64" w:rsidP="00D31F26">
            <w:pPr>
              <w:pStyle w:val="ListAlpha"/>
              <w:rPr>
                <w:lang w:val="es-ES"/>
              </w:rPr>
            </w:pPr>
            <w:r>
              <w:rPr>
                <w:lang w:val="es"/>
              </w:rPr>
              <w:t>E. Déficit restante (C-D): 1 millón USD</w:t>
            </w:r>
          </w:p>
          <w:p w14:paraId="3673F02F" w14:textId="4DB3A591" w:rsidR="00F353B2" w:rsidRPr="00767A66" w:rsidRDefault="004253CB" w:rsidP="00D31F26">
            <w:pPr>
              <w:pStyle w:val="ListAlpha"/>
              <w:rPr>
                <w:lang w:val="es-ES"/>
              </w:rPr>
            </w:pPr>
            <w:r>
              <w:rPr>
                <w:lang w:val="es"/>
              </w:rPr>
              <w:t>Supuestos: análisis basado en las tablas de análisis de deficiencias de los trabajadores de salud comunitarios, que estiman que un total de 8.000 trabajadores de salud comunitarios necesitan supervisión integrada con un costo de 500 USD por cada trabajador. El compromiso del FCDO cubre el primer año. Solo la mitad se cubrirá con las inversiones del Fondo Mundial.</w:t>
            </w:r>
          </w:p>
          <w:p w14:paraId="2475E2FD" w14:textId="5BD9C747" w:rsidR="004253CB" w:rsidRPr="00767A66" w:rsidRDefault="004253CB" w:rsidP="00D31F26">
            <w:pPr>
              <w:pStyle w:val="ListAlpha"/>
              <w:rPr>
                <w:lang w:val="es-ES"/>
              </w:rPr>
            </w:pPr>
            <w:r>
              <w:rPr>
                <w:lang w:val="es"/>
              </w:rPr>
              <w:t>Fuentes de datos: tablas de análisis de deficiencias programáticas de los trabajadores de salud comunitarios, FCDO, estrategia y plan operativo de los trabajadores de salud comunitarios</w:t>
            </w:r>
          </w:p>
        </w:tc>
      </w:tr>
    </w:tbl>
    <w:p w14:paraId="3B813CD4" w14:textId="77777777" w:rsidR="005F1DFF" w:rsidRPr="00767A66" w:rsidRDefault="005F1DFF" w:rsidP="000121F3">
      <w:pPr>
        <w:jc w:val="both"/>
        <w:rPr>
          <w:rFonts w:cs="Arial"/>
          <w:lang w:val="es-ES"/>
        </w:rPr>
      </w:pPr>
    </w:p>
    <w:sectPr w:rsidR="005F1DFF" w:rsidRPr="00767A66" w:rsidSect="00415031">
      <w:footerReference w:type="default" r:id="rId13"/>
      <w:headerReference w:type="first" r:id="rId14"/>
      <w:footerReference w:type="first" r:id="rId15"/>
      <w:endnotePr>
        <w:numFmt w:val="chicago"/>
      </w:endnotePr>
      <w:pgSz w:w="11906" w:h="16838" w:code="9"/>
      <w:pgMar w:top="851" w:right="1418" w:bottom="2552" w:left="851" w:header="8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AE4E" w14:textId="77777777" w:rsidR="00E40112" w:rsidRDefault="00E40112" w:rsidP="0013691B">
      <w:pPr>
        <w:spacing w:after="0" w:line="240" w:lineRule="auto"/>
      </w:pPr>
      <w:r>
        <w:separator/>
      </w:r>
    </w:p>
  </w:endnote>
  <w:endnote w:type="continuationSeparator" w:id="0">
    <w:p w14:paraId="32DBBF22" w14:textId="77777777" w:rsidR="00E40112" w:rsidRDefault="00E40112" w:rsidP="0013691B">
      <w:pPr>
        <w:spacing w:after="0" w:line="240" w:lineRule="auto"/>
      </w:pPr>
      <w:r>
        <w:continuationSeparator/>
      </w:r>
    </w:p>
  </w:endnote>
  <w:endnote w:type="continuationNotice" w:id="1">
    <w:p w14:paraId="47363D48" w14:textId="77777777" w:rsidR="00E40112" w:rsidRDefault="00E40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5769AC41" w14:textId="77777777" w:rsidTr="005F1DFF">
      <w:trPr>
        <w:trHeight w:val="283"/>
      </w:trPr>
      <w:tc>
        <w:tcPr>
          <w:tcW w:w="10204" w:type="dxa"/>
          <w:gridSpan w:val="2"/>
          <w:tcBorders>
            <w:top w:val="single" w:sz="4" w:space="0" w:color="auto"/>
          </w:tcBorders>
          <w:vAlign w:val="bottom"/>
        </w:tcPr>
        <w:p w14:paraId="2F4DD178" w14:textId="77777777" w:rsidR="00BD3250" w:rsidRPr="008F46F0" w:rsidRDefault="00BD3250" w:rsidP="00BD3250">
          <w:pPr>
            <w:pStyle w:val="PageNo"/>
          </w:pPr>
        </w:p>
      </w:tc>
    </w:tr>
    <w:tr w:rsidR="00BD3250" w14:paraId="506503C0" w14:textId="77777777" w:rsidTr="005F1DFF">
      <w:sdt>
        <w:sdtPr>
          <w:alias w:val="Form.DocLang.Logo_horizontal"/>
          <w:tag w:val="{&quot;templafy&quot;:{&quot;id&quot;:&quot;2e20aeaa-a5ac-4b4e-ae56-42767782496e&quot;}}"/>
          <w:id w:val="-1947372600"/>
          <w:picture/>
        </w:sdtPr>
        <w:sdtEndPr/>
        <w:sdtContent>
          <w:tc>
            <w:tcPr>
              <w:tcW w:w="5102" w:type="dxa"/>
              <w:vAlign w:val="bottom"/>
            </w:tcPr>
            <w:p w14:paraId="0C021448" w14:textId="77777777" w:rsidR="00BD3250" w:rsidRDefault="00A04A32" w:rsidP="00BD3250">
              <w:pPr>
                <w:pStyle w:val="Footer"/>
              </w:pPr>
              <w:r>
                <w:rPr>
                  <w:noProof/>
                  <w:lang w:val="es"/>
                </w:rPr>
                <w:drawing>
                  <wp:inline distT="0" distB="0" distL="0" distR="0" wp14:anchorId="5BEFD2B9" wp14:editId="6253682E">
                    <wp:extent cx="1674421" cy="332509"/>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2588" cy="340088"/>
                            </a:xfrm>
                            <a:prstGeom prst="rect">
                              <a:avLst/>
                            </a:prstGeom>
                          </pic:spPr>
                        </pic:pic>
                      </a:graphicData>
                    </a:graphic>
                  </wp:inline>
                </w:drawing>
              </w:r>
            </w:p>
          </w:tc>
        </w:sdtContent>
      </w:sdt>
      <w:tc>
        <w:tcPr>
          <w:tcW w:w="5102" w:type="dxa"/>
          <w:vAlign w:val="bottom"/>
        </w:tcPr>
        <w:p w14:paraId="46D0B964" w14:textId="77777777" w:rsidR="00BD3250" w:rsidRPr="008F46F0" w:rsidRDefault="00BD3250" w:rsidP="00BD3250">
          <w:pPr>
            <w:pStyle w:val="PageNo"/>
          </w:pPr>
          <w:r>
            <w:rPr>
              <w:lang w:val="es"/>
            </w:rPr>
            <w:t>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fldSimple w:instr="NUMPAGES  \* Arabic  \* MERGEFORMAT">
            <w:r>
              <w:rPr>
                <w:noProof/>
                <w:lang w:val="es"/>
              </w:rPr>
              <w:t>2</w:t>
            </w:r>
          </w:fldSimple>
        </w:p>
      </w:tc>
    </w:tr>
  </w:tbl>
  <w:p w14:paraId="4E4DAF18"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0"/>
      <w:gridCol w:w="3122"/>
      <w:gridCol w:w="2551"/>
      <w:gridCol w:w="2551"/>
    </w:tblGrid>
    <w:tr w:rsidR="008F46F0" w14:paraId="50FE894C" w14:textId="77777777" w:rsidTr="0090615F">
      <w:trPr>
        <w:trHeight w:val="283"/>
      </w:trPr>
      <w:tc>
        <w:tcPr>
          <w:tcW w:w="1980" w:type="dxa"/>
          <w:tcBorders>
            <w:top w:val="single" w:sz="4" w:space="0" w:color="auto"/>
          </w:tcBorders>
          <w:vAlign w:val="bottom"/>
        </w:tcPr>
        <w:p w14:paraId="33CC414D" w14:textId="77777777" w:rsidR="008F46F0" w:rsidRDefault="008F46F0" w:rsidP="00C712A1">
          <w:pPr>
            <w:pStyle w:val="Footer"/>
          </w:pPr>
        </w:p>
      </w:tc>
      <w:tc>
        <w:tcPr>
          <w:tcW w:w="3122" w:type="dxa"/>
          <w:tcBorders>
            <w:top w:val="single" w:sz="4" w:space="0" w:color="auto"/>
          </w:tcBorders>
          <w:vAlign w:val="bottom"/>
        </w:tcPr>
        <w:p w14:paraId="3DF1ED68" w14:textId="77777777" w:rsidR="008F46F0" w:rsidRDefault="008F46F0" w:rsidP="00C712A1">
          <w:pPr>
            <w:pStyle w:val="Footer"/>
          </w:pPr>
        </w:p>
      </w:tc>
      <w:tc>
        <w:tcPr>
          <w:tcW w:w="2551" w:type="dxa"/>
          <w:tcBorders>
            <w:top w:val="single" w:sz="4" w:space="0" w:color="auto"/>
          </w:tcBorders>
          <w:vAlign w:val="bottom"/>
        </w:tcPr>
        <w:p w14:paraId="052D8A3C" w14:textId="77777777" w:rsidR="008F46F0" w:rsidRDefault="008F46F0" w:rsidP="00C712A1">
          <w:pPr>
            <w:pStyle w:val="Footer"/>
          </w:pPr>
        </w:p>
      </w:tc>
      <w:tc>
        <w:tcPr>
          <w:tcW w:w="2551" w:type="dxa"/>
          <w:tcBorders>
            <w:top w:val="single" w:sz="4" w:space="0" w:color="auto"/>
          </w:tcBorders>
          <w:vAlign w:val="bottom"/>
        </w:tcPr>
        <w:p w14:paraId="3F1CDAB1" w14:textId="77777777" w:rsidR="008F46F0" w:rsidRPr="008F46F0" w:rsidRDefault="008F46F0" w:rsidP="00C712A1">
          <w:pPr>
            <w:pStyle w:val="PageNo"/>
          </w:pPr>
        </w:p>
      </w:tc>
    </w:tr>
    <w:tr w:rsidR="00C712A1" w14:paraId="71E0A3C8" w14:textId="77777777" w:rsidTr="0090615F">
      <w:tc>
        <w:tcPr>
          <w:tcW w:w="1980" w:type="dxa"/>
        </w:tcPr>
        <w:p w14:paraId="4801100B" w14:textId="0C433B1D" w:rsidR="00C855A9" w:rsidRDefault="00C855A9" w:rsidP="009162B5">
          <w:pPr>
            <w:pStyle w:val="Footer"/>
          </w:pPr>
        </w:p>
      </w:tc>
      <w:tc>
        <w:tcPr>
          <w:tcW w:w="3122" w:type="dxa"/>
        </w:tcPr>
        <w:p w14:paraId="4C92DB68" w14:textId="695D4F44" w:rsidR="00C855A9" w:rsidRDefault="00C855A9">
          <w:pPr>
            <w:pStyle w:val="Footer"/>
          </w:pPr>
        </w:p>
      </w:tc>
      <w:tc>
        <w:tcPr>
          <w:tcW w:w="2551" w:type="dxa"/>
        </w:tcPr>
        <w:p w14:paraId="1C717120" w14:textId="2FDF0019" w:rsidR="00C712A1" w:rsidRPr="003939E3" w:rsidRDefault="00C712A1" w:rsidP="00C712A1">
          <w:pPr>
            <w:pStyle w:val="Footer"/>
            <w:rPr>
              <w:u w:val="single"/>
            </w:rPr>
          </w:pPr>
        </w:p>
      </w:tc>
      <w:tc>
        <w:tcPr>
          <w:tcW w:w="2551" w:type="dxa"/>
        </w:tcPr>
        <w:p w14:paraId="470DA786" w14:textId="77777777" w:rsidR="00C712A1" w:rsidRDefault="00C712A1" w:rsidP="00C712A1">
          <w:pPr>
            <w:pStyle w:val="PageNo"/>
          </w:pPr>
          <w:r>
            <w:rPr>
              <w:lang w:val="es"/>
            </w:rPr>
            <w:t>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w:t>
          </w:r>
          <w:fldSimple w:instr="NUMPAGES  \* Arabic  \* MERGEFORMAT">
            <w:r>
              <w:rPr>
                <w:noProof/>
                <w:lang w:val="es"/>
              </w:rPr>
              <w:t>2</w:t>
            </w:r>
          </w:fldSimple>
        </w:p>
      </w:tc>
    </w:tr>
  </w:tbl>
  <w:p w14:paraId="51F82345"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1266" w14:textId="77777777" w:rsidR="00E40112" w:rsidRDefault="00E40112" w:rsidP="0013691B">
      <w:pPr>
        <w:spacing w:after="0" w:line="240" w:lineRule="auto"/>
      </w:pPr>
      <w:r>
        <w:separator/>
      </w:r>
    </w:p>
  </w:footnote>
  <w:footnote w:type="continuationSeparator" w:id="0">
    <w:p w14:paraId="3F4EF0DA" w14:textId="77777777" w:rsidR="00E40112" w:rsidRDefault="00E40112" w:rsidP="0013691B">
      <w:pPr>
        <w:spacing w:after="0" w:line="240" w:lineRule="auto"/>
      </w:pPr>
      <w:r>
        <w:continuationSeparator/>
      </w:r>
    </w:p>
  </w:footnote>
  <w:footnote w:type="continuationNotice" w:id="1">
    <w:p w14:paraId="464C90C1" w14:textId="77777777" w:rsidR="00E40112" w:rsidRDefault="00E40112">
      <w:pPr>
        <w:spacing w:after="0" w:line="240" w:lineRule="auto"/>
      </w:pPr>
    </w:p>
  </w:footnote>
  <w:footnote w:id="2">
    <w:p w14:paraId="373DCBA8" w14:textId="5E048276" w:rsidR="00C86094" w:rsidRPr="00767A66" w:rsidRDefault="00C86094">
      <w:pPr>
        <w:pStyle w:val="FootnoteText"/>
        <w:rPr>
          <w:sz w:val="18"/>
          <w:szCs w:val="18"/>
          <w:lang w:val="es-ES"/>
        </w:rPr>
      </w:pPr>
      <w:r>
        <w:rPr>
          <w:rStyle w:val="FootnoteReference"/>
          <w:sz w:val="18"/>
          <w:szCs w:val="18"/>
          <w:lang w:val="es"/>
        </w:rPr>
        <w:footnoteRef/>
      </w:r>
      <w:r>
        <w:rPr>
          <w:sz w:val="18"/>
          <w:szCs w:val="18"/>
          <w:lang w:val="es"/>
        </w:rPr>
        <w:t xml:space="preserve"> Se recomienda identificar tres áreas para cada uno, ya que se trata de un proceso de priorización. No obstante, los países pueden enumerar más de tres áreas si es necesario.</w:t>
      </w:r>
    </w:p>
  </w:footnote>
  <w:footnote w:id="3">
    <w:p w14:paraId="618A0C0B" w14:textId="77777777" w:rsidR="00FF0008" w:rsidRPr="00767A66" w:rsidRDefault="00FF0008" w:rsidP="00FF0008">
      <w:pPr>
        <w:pStyle w:val="FootnoteText"/>
        <w:jc w:val="both"/>
        <w:rPr>
          <w:rFonts w:cs="Arial"/>
          <w:sz w:val="18"/>
          <w:szCs w:val="18"/>
          <w:lang w:val="es-ES"/>
        </w:rPr>
      </w:pPr>
      <w:r>
        <w:rPr>
          <w:rStyle w:val="FootnoteReference"/>
          <w:sz w:val="18"/>
          <w:szCs w:val="18"/>
          <w:lang w:val="es"/>
        </w:rPr>
        <w:footnoteRef/>
      </w:r>
      <w:r>
        <w:rPr>
          <w:rFonts w:cs="Arial"/>
          <w:sz w:val="18"/>
          <w:szCs w:val="18"/>
          <w:lang w:val="es"/>
        </w:rPr>
        <w:t xml:space="preserve"> Los módulos de SSRS son: 1) fortalecimiento de los sistemas comunitarios; 2) sistemas de gestión de productos sanitarios; 3) sistemas de monitoreo y evaluación; 4) planificación y gobernanza del sector sanitario para los servicios integrados y centrados en las personas, incluida la participación del sector privado; 5) sistemas de financiamiento de la salud; 6) recursos humanos para la salud y calidad de la atención; 7) sistemas de laboratorio; 8) oxígeno médico y sistema de atención respiratoria. Para obtener más información, consulte el </w:t>
      </w:r>
      <w:hyperlink r:id="rId1" w:history="1">
        <w:r>
          <w:rPr>
            <w:rStyle w:val="Hyperlink"/>
            <w:i/>
            <w:iCs/>
            <w:sz w:val="18"/>
            <w:szCs w:val="18"/>
            <w:lang w:val="es"/>
          </w:rPr>
          <w:t>Manual del marco modular del Fondo Mundial</w:t>
        </w:r>
      </w:hyperlink>
      <w:r>
        <w:rPr>
          <w:rFonts w:cs="Arial"/>
          <w:sz w:val="18"/>
          <w:szCs w:val="18"/>
          <w:lang w:val="es"/>
        </w:rPr>
        <w:t>.</w:t>
      </w:r>
    </w:p>
  </w:footnote>
  <w:footnote w:id="4">
    <w:p w14:paraId="0EAF92C8" w14:textId="2257DB64" w:rsidR="00474C9A" w:rsidRPr="00767A66" w:rsidRDefault="00474C9A">
      <w:pPr>
        <w:pStyle w:val="FootnoteText"/>
        <w:rPr>
          <w:lang w:val="es-ES"/>
        </w:rPr>
      </w:pPr>
      <w:r>
        <w:rPr>
          <w:rStyle w:val="FootnoteReference"/>
          <w:lang w:val="es"/>
        </w:rPr>
        <w:footnoteRef/>
      </w:r>
      <w:r>
        <w:rPr>
          <w:lang w:val="es"/>
        </w:rPr>
        <w:t xml:space="preserve"> </w:t>
      </w:r>
      <w:r>
        <w:rPr>
          <w:sz w:val="18"/>
          <w:szCs w:val="18"/>
          <w:lang w:val="es"/>
        </w:rPr>
        <w:t>En general, se recomienda priorizar solo un número reducido de áreas y asegurarse de que estén bien diseñadas y cuenten con el financiamiento adecuado. Asegúrese de ubicar las áreas en los módulos correspondientes, ya que es importante que estas se clasifiquen dentro de los módulos e intervenciones correctos.</w:t>
      </w:r>
    </w:p>
  </w:footnote>
  <w:footnote w:id="5">
    <w:p w14:paraId="5B3CDCE7" w14:textId="1F885895" w:rsidR="000E22FD" w:rsidRPr="009F6496" w:rsidRDefault="000E22FD" w:rsidP="00D41F74">
      <w:pPr>
        <w:pStyle w:val="NormalWeb"/>
        <w:spacing w:after="0" w:line="240" w:lineRule="auto"/>
        <w:jc w:val="both"/>
        <w:rPr>
          <w:rFonts w:ascii="Arial" w:eastAsia="Times New Roman" w:hAnsi="Arial" w:cs="Arial"/>
          <w:sz w:val="18"/>
          <w:szCs w:val="18"/>
        </w:rPr>
      </w:pPr>
      <w:r>
        <w:rPr>
          <w:rStyle w:val="FootnoteReference"/>
          <w:rFonts w:ascii="Arial" w:hAnsi="Arial"/>
          <w:color w:val="000000"/>
          <w:sz w:val="18"/>
          <w:szCs w:val="18"/>
          <w:lang w:val="es"/>
        </w:rPr>
        <w:footnoteRef/>
      </w:r>
      <w:r w:rsidRPr="00767A66">
        <w:rPr>
          <w:rFonts w:ascii="Arial" w:hAnsi="Arial" w:cs="Arial"/>
          <w:color w:val="000000"/>
          <w:sz w:val="18"/>
          <w:szCs w:val="18"/>
        </w:rPr>
        <w:t xml:space="preserve"> </w:t>
      </w:r>
      <w:r w:rsidRPr="00767A66">
        <w:rPr>
          <w:rFonts w:ascii="Arial" w:hAnsi="Arial" w:cs="Arial"/>
          <w:i/>
          <w:iCs/>
          <w:color w:val="000000"/>
          <w:sz w:val="18"/>
          <w:szCs w:val="18"/>
        </w:rPr>
        <w:t>Essential public health functions, health systems and health security: developing conceptual clarity and a WHO roadmap for action.</w:t>
      </w:r>
      <w:r w:rsidRPr="00767A66">
        <w:rPr>
          <w:rFonts w:ascii="Arial" w:hAnsi="Arial" w:cs="Arial"/>
          <w:color w:val="000000"/>
          <w:sz w:val="18"/>
          <w:szCs w:val="18"/>
        </w:rPr>
        <w:t xml:space="preserve"> </w:t>
      </w:r>
      <w:r>
        <w:rPr>
          <w:rFonts w:ascii="Arial" w:hAnsi="Arial" w:cs="Arial"/>
          <w:color w:val="000000"/>
          <w:sz w:val="18"/>
          <w:szCs w:val="18"/>
          <w:lang w:val="es"/>
        </w:rPr>
        <w:t xml:space="preserve">Ginebra, Organización Mundial de la Salud; 2018. </w:t>
      </w:r>
      <w:r w:rsidRPr="00F904A1">
        <w:rPr>
          <w:rFonts w:ascii="Arial" w:hAnsi="Arial" w:cs="Arial"/>
          <w:color w:val="000000"/>
          <w:sz w:val="18"/>
          <w:szCs w:val="18"/>
          <w:lang w:val="fr-CH"/>
        </w:rPr>
        <w:t xml:space="preserve">Licencia: CC BY-NC-SA 3,0 IGO. </w:t>
      </w:r>
      <w:r w:rsidRPr="00767A66">
        <w:rPr>
          <w:rFonts w:ascii="Arial" w:hAnsi="Arial" w:cs="Arial"/>
          <w:color w:val="000000"/>
          <w:sz w:val="18"/>
          <w:szCs w:val="18"/>
        </w:rPr>
        <w:t xml:space="preserve">Y </w:t>
      </w:r>
      <w:hyperlink r:id="rId2" w:history="1">
        <w:r w:rsidRPr="00767A66">
          <w:rPr>
            <w:rStyle w:val="Hyperlink"/>
            <w:rFonts w:ascii="Arial" w:eastAsia="Times New Roman" w:hAnsi="Arial" w:cs="Arial"/>
            <w:i/>
            <w:iCs/>
            <w:sz w:val="18"/>
            <w:szCs w:val="18"/>
          </w:rPr>
          <w:t>UHC Compendium: Health interventions for universal health coverage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75E" w14:textId="77777777" w:rsidR="003B542B" w:rsidRDefault="00B30C0D" w:rsidP="00B30C0D">
    <w:pPr>
      <w:pStyle w:val="Tiny"/>
    </w:pPr>
    <w:r>
      <w:rPr>
        <w:lang w:val="es"/>
      </w:rPr>
      <w:t xml:space="preserve"> </w:t>
    </w:r>
  </w:p>
  <w:tbl>
    <w:tblPr>
      <w:tblStyle w:val="TableGrid"/>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6"/>
    </w:tblGrid>
    <w:tr w:rsidR="003B542B" w14:paraId="121C7D8D" w14:textId="77777777" w:rsidTr="00C93F7A">
      <w:trPr>
        <w:trHeight w:val="2250"/>
      </w:trPr>
      <w:tc>
        <w:tcPr>
          <w:tcW w:w="11906" w:type="dxa"/>
        </w:tcPr>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505"/>
          </w:tblGrid>
          <w:tr w:rsidR="00BF7B98" w14:paraId="01C90014" w14:textId="77777777" w:rsidTr="00BF7B98">
            <w:trPr>
              <w:trHeight w:val="454"/>
            </w:trPr>
            <w:tc>
              <w:tcPr>
                <w:tcW w:w="2268" w:type="dxa"/>
                <w:tcBorders>
                  <w:top w:val="nil"/>
                  <w:left w:val="nil"/>
                  <w:bottom w:val="nil"/>
                  <w:right w:val="nil"/>
                </w:tcBorders>
              </w:tcPr>
              <w:p w14:paraId="5CFD7045" w14:textId="0A0D1BD7" w:rsidR="00BF7B98" w:rsidRDefault="00767A66" w:rsidP="005547FE">
                <w:pPr>
                  <w:pStyle w:val="Header"/>
                </w:pPr>
                <w:r>
                  <w:rPr>
                    <w:noProof/>
                  </w:rPr>
                  <w:drawing>
                    <wp:inline distT="0" distB="0" distL="0" distR="0" wp14:anchorId="7AC1DB51" wp14:editId="68D4CA82">
                      <wp:extent cx="1591014" cy="64126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935" cy="646878"/>
                              </a:xfrm>
                              <a:prstGeom prst="rect">
                                <a:avLst/>
                              </a:prstGeom>
                              <a:noFill/>
                              <a:ln>
                                <a:noFill/>
                              </a:ln>
                            </pic:spPr>
                          </pic:pic>
                        </a:graphicData>
                      </a:graphic>
                    </wp:inline>
                  </w:drawing>
                </w:r>
              </w:p>
            </w:tc>
          </w:tr>
        </w:tbl>
        <w:p w14:paraId="1714C028" w14:textId="77777777" w:rsidR="003B542B" w:rsidRDefault="003B542B" w:rsidP="005547FE">
          <w:pPr>
            <w:pStyle w:val="Header"/>
          </w:pPr>
        </w:p>
      </w:tc>
    </w:tr>
  </w:tbl>
  <w:p w14:paraId="6A094B7C"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767"/>
    <w:multiLevelType w:val="hybridMultilevel"/>
    <w:tmpl w:val="BA6A0BB0"/>
    <w:lvl w:ilvl="0" w:tplc="4118ADCA">
      <w:start w:val="2"/>
      <w:numFmt w:val="bullet"/>
      <w:lvlText w:val="-"/>
      <w:lvlJc w:val="left"/>
      <w:pPr>
        <w:ind w:left="720" w:hanging="360"/>
      </w:pPr>
      <w:rPr>
        <w:rFonts w:ascii="Arial" w:eastAsia="Calibri"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5B810A8"/>
    <w:multiLevelType w:val="hybridMultilevel"/>
    <w:tmpl w:val="6EA29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BF1CBD"/>
    <w:multiLevelType w:val="hybridMultilevel"/>
    <w:tmpl w:val="91B2E81A"/>
    <w:lvl w:ilvl="0" w:tplc="DF44C028">
      <w:start w:val="1"/>
      <w:numFmt w:val="decimal"/>
      <w:lvlText w:val="%1."/>
      <w:lvlJc w:val="left"/>
      <w:pPr>
        <w:ind w:left="720" w:hanging="360"/>
      </w:pPr>
      <w:rPr>
        <w:rFonts w:ascii="Arial" w:hAnsi="Arial" w:cs="Arial"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8"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5CC53AB8"/>
    <w:multiLevelType w:val="hybridMultilevel"/>
    <w:tmpl w:val="D398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470167">
    <w:abstractNumId w:val="18"/>
  </w:num>
  <w:num w:numId="2" w16cid:durableId="2063285433">
    <w:abstractNumId w:val="11"/>
  </w:num>
  <w:num w:numId="3" w16cid:durableId="1163858068">
    <w:abstractNumId w:val="17"/>
  </w:num>
  <w:num w:numId="4" w16cid:durableId="710571040">
    <w:abstractNumId w:val="15"/>
  </w:num>
  <w:num w:numId="5" w16cid:durableId="800610910">
    <w:abstractNumId w:val="14"/>
  </w:num>
  <w:num w:numId="6" w16cid:durableId="1056708871">
    <w:abstractNumId w:val="13"/>
  </w:num>
  <w:num w:numId="7" w16cid:durableId="325549795">
    <w:abstractNumId w:val="9"/>
  </w:num>
  <w:num w:numId="8" w16cid:durableId="469595492">
    <w:abstractNumId w:val="7"/>
  </w:num>
  <w:num w:numId="9" w16cid:durableId="999313673">
    <w:abstractNumId w:val="6"/>
  </w:num>
  <w:num w:numId="10" w16cid:durableId="590773872">
    <w:abstractNumId w:val="5"/>
  </w:num>
  <w:num w:numId="11" w16cid:durableId="716199355">
    <w:abstractNumId w:val="4"/>
  </w:num>
  <w:num w:numId="12" w16cid:durableId="235894703">
    <w:abstractNumId w:val="8"/>
  </w:num>
  <w:num w:numId="13" w16cid:durableId="941574102">
    <w:abstractNumId w:val="3"/>
  </w:num>
  <w:num w:numId="14" w16cid:durableId="347488269">
    <w:abstractNumId w:val="2"/>
  </w:num>
  <w:num w:numId="15" w16cid:durableId="973296828">
    <w:abstractNumId w:val="1"/>
  </w:num>
  <w:num w:numId="16" w16cid:durableId="1632979216">
    <w:abstractNumId w:val="0"/>
  </w:num>
  <w:num w:numId="17" w16cid:durableId="2114784778">
    <w:abstractNumId w:val="17"/>
  </w:num>
  <w:num w:numId="18" w16cid:durableId="864096570">
    <w:abstractNumId w:val="11"/>
  </w:num>
  <w:num w:numId="19" w16cid:durableId="765465501">
    <w:abstractNumId w:val="18"/>
  </w:num>
  <w:num w:numId="20" w16cid:durableId="10069830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6989479">
    <w:abstractNumId w:val="12"/>
  </w:num>
  <w:num w:numId="22" w16cid:durableId="1296058146">
    <w:abstractNumId w:val="10"/>
  </w:num>
  <w:num w:numId="23" w16cid:durableId="184045971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67AC"/>
    <w:rsid w:val="00006AA7"/>
    <w:rsid w:val="000121F3"/>
    <w:rsid w:val="00015ADD"/>
    <w:rsid w:val="00024539"/>
    <w:rsid w:val="00027D89"/>
    <w:rsid w:val="000311B8"/>
    <w:rsid w:val="00034984"/>
    <w:rsid w:val="00034D66"/>
    <w:rsid w:val="0003520F"/>
    <w:rsid w:val="000407A1"/>
    <w:rsid w:val="000429AA"/>
    <w:rsid w:val="00045834"/>
    <w:rsid w:val="00047C4F"/>
    <w:rsid w:val="00050558"/>
    <w:rsid w:val="00050AA0"/>
    <w:rsid w:val="0005290E"/>
    <w:rsid w:val="00054E5F"/>
    <w:rsid w:val="000604E0"/>
    <w:rsid w:val="0006225F"/>
    <w:rsid w:val="00062D30"/>
    <w:rsid w:val="00063A1B"/>
    <w:rsid w:val="00064690"/>
    <w:rsid w:val="00064695"/>
    <w:rsid w:val="00070839"/>
    <w:rsid w:val="00074BD2"/>
    <w:rsid w:val="0007723A"/>
    <w:rsid w:val="00080D82"/>
    <w:rsid w:val="00085AB1"/>
    <w:rsid w:val="00091305"/>
    <w:rsid w:val="000947F4"/>
    <w:rsid w:val="000955EB"/>
    <w:rsid w:val="0009608E"/>
    <w:rsid w:val="000964DC"/>
    <w:rsid w:val="00097C58"/>
    <w:rsid w:val="000B35F9"/>
    <w:rsid w:val="000B54A7"/>
    <w:rsid w:val="000B5588"/>
    <w:rsid w:val="000B7B57"/>
    <w:rsid w:val="000C1280"/>
    <w:rsid w:val="000C2E87"/>
    <w:rsid w:val="000C377B"/>
    <w:rsid w:val="000C647F"/>
    <w:rsid w:val="000D7AC8"/>
    <w:rsid w:val="000E22FD"/>
    <w:rsid w:val="000E32F9"/>
    <w:rsid w:val="000E4F70"/>
    <w:rsid w:val="000F21C9"/>
    <w:rsid w:val="000F5044"/>
    <w:rsid w:val="00110820"/>
    <w:rsid w:val="0011591A"/>
    <w:rsid w:val="00122FFB"/>
    <w:rsid w:val="00132521"/>
    <w:rsid w:val="00133325"/>
    <w:rsid w:val="0013691B"/>
    <w:rsid w:val="00140A3C"/>
    <w:rsid w:val="00141922"/>
    <w:rsid w:val="00143018"/>
    <w:rsid w:val="001540E2"/>
    <w:rsid w:val="001568FA"/>
    <w:rsid w:val="001606DC"/>
    <w:rsid w:val="00164005"/>
    <w:rsid w:val="00170088"/>
    <w:rsid w:val="0017528C"/>
    <w:rsid w:val="00175F71"/>
    <w:rsid w:val="001802EE"/>
    <w:rsid w:val="0018081D"/>
    <w:rsid w:val="00182880"/>
    <w:rsid w:val="00190CA2"/>
    <w:rsid w:val="00191404"/>
    <w:rsid w:val="00197D0F"/>
    <w:rsid w:val="001A26CC"/>
    <w:rsid w:val="001A4D34"/>
    <w:rsid w:val="001A5021"/>
    <w:rsid w:val="001A6C74"/>
    <w:rsid w:val="001A6E91"/>
    <w:rsid w:val="001A7DE6"/>
    <w:rsid w:val="001B6301"/>
    <w:rsid w:val="001C1F29"/>
    <w:rsid w:val="001C451F"/>
    <w:rsid w:val="001C4577"/>
    <w:rsid w:val="001C6C3E"/>
    <w:rsid w:val="001C77EF"/>
    <w:rsid w:val="001D12F2"/>
    <w:rsid w:val="001D582E"/>
    <w:rsid w:val="001D66FD"/>
    <w:rsid w:val="001E31FC"/>
    <w:rsid w:val="001E3C65"/>
    <w:rsid w:val="001E41D2"/>
    <w:rsid w:val="001E423E"/>
    <w:rsid w:val="001F100C"/>
    <w:rsid w:val="001F6775"/>
    <w:rsid w:val="001F7499"/>
    <w:rsid w:val="001F79B8"/>
    <w:rsid w:val="00202E7F"/>
    <w:rsid w:val="00204E3E"/>
    <w:rsid w:val="00205BA9"/>
    <w:rsid w:val="00205C8F"/>
    <w:rsid w:val="00210B60"/>
    <w:rsid w:val="00211C0C"/>
    <w:rsid w:val="00213227"/>
    <w:rsid w:val="002168F3"/>
    <w:rsid w:val="00217CE8"/>
    <w:rsid w:val="0022215E"/>
    <w:rsid w:val="0022386C"/>
    <w:rsid w:val="0022432C"/>
    <w:rsid w:val="00225F2D"/>
    <w:rsid w:val="002264B3"/>
    <w:rsid w:val="0022743C"/>
    <w:rsid w:val="00231EFD"/>
    <w:rsid w:val="002367CA"/>
    <w:rsid w:val="00236822"/>
    <w:rsid w:val="0024020E"/>
    <w:rsid w:val="0024258F"/>
    <w:rsid w:val="0024285F"/>
    <w:rsid w:val="00244222"/>
    <w:rsid w:val="00247EC9"/>
    <w:rsid w:val="0025351E"/>
    <w:rsid w:val="0025459F"/>
    <w:rsid w:val="00261738"/>
    <w:rsid w:val="00262521"/>
    <w:rsid w:val="00266AEC"/>
    <w:rsid w:val="002676BB"/>
    <w:rsid w:val="00272AC1"/>
    <w:rsid w:val="002743BC"/>
    <w:rsid w:val="002756DF"/>
    <w:rsid w:val="00276608"/>
    <w:rsid w:val="00281D5A"/>
    <w:rsid w:val="0028248E"/>
    <w:rsid w:val="00284171"/>
    <w:rsid w:val="00284808"/>
    <w:rsid w:val="002868F6"/>
    <w:rsid w:val="00290822"/>
    <w:rsid w:val="00291509"/>
    <w:rsid w:val="00292B7D"/>
    <w:rsid w:val="002A1EE9"/>
    <w:rsid w:val="002A3E78"/>
    <w:rsid w:val="002A72DB"/>
    <w:rsid w:val="002A7377"/>
    <w:rsid w:val="002A77C0"/>
    <w:rsid w:val="002B07E9"/>
    <w:rsid w:val="002B0AD2"/>
    <w:rsid w:val="002B0AE7"/>
    <w:rsid w:val="002B0F35"/>
    <w:rsid w:val="002C35FE"/>
    <w:rsid w:val="002C6177"/>
    <w:rsid w:val="002C68FD"/>
    <w:rsid w:val="002D1EB7"/>
    <w:rsid w:val="002D78BF"/>
    <w:rsid w:val="002E03E9"/>
    <w:rsid w:val="002E5A14"/>
    <w:rsid w:val="002E7489"/>
    <w:rsid w:val="002F042A"/>
    <w:rsid w:val="002F2F7C"/>
    <w:rsid w:val="002F4FB5"/>
    <w:rsid w:val="002F5DC4"/>
    <w:rsid w:val="0030278D"/>
    <w:rsid w:val="00304858"/>
    <w:rsid w:val="0030669B"/>
    <w:rsid w:val="00306C82"/>
    <w:rsid w:val="00313268"/>
    <w:rsid w:val="003136F0"/>
    <w:rsid w:val="00313FF6"/>
    <w:rsid w:val="00314800"/>
    <w:rsid w:val="00317B18"/>
    <w:rsid w:val="0032068F"/>
    <w:rsid w:val="00320820"/>
    <w:rsid w:val="003263A8"/>
    <w:rsid w:val="00327952"/>
    <w:rsid w:val="003452CF"/>
    <w:rsid w:val="003477D1"/>
    <w:rsid w:val="00355F61"/>
    <w:rsid w:val="00356410"/>
    <w:rsid w:val="003608C4"/>
    <w:rsid w:val="003610C9"/>
    <w:rsid w:val="003726EB"/>
    <w:rsid w:val="00373331"/>
    <w:rsid w:val="00375700"/>
    <w:rsid w:val="00382EDE"/>
    <w:rsid w:val="0038486D"/>
    <w:rsid w:val="003853BC"/>
    <w:rsid w:val="00392B45"/>
    <w:rsid w:val="003939E3"/>
    <w:rsid w:val="003945D9"/>
    <w:rsid w:val="003954FF"/>
    <w:rsid w:val="00397C68"/>
    <w:rsid w:val="003A2174"/>
    <w:rsid w:val="003A35FE"/>
    <w:rsid w:val="003A5EB1"/>
    <w:rsid w:val="003B09C8"/>
    <w:rsid w:val="003B1648"/>
    <w:rsid w:val="003B31D3"/>
    <w:rsid w:val="003B38B5"/>
    <w:rsid w:val="003B4617"/>
    <w:rsid w:val="003B542B"/>
    <w:rsid w:val="003B6B88"/>
    <w:rsid w:val="003C2EE8"/>
    <w:rsid w:val="003C4A20"/>
    <w:rsid w:val="003C6170"/>
    <w:rsid w:val="003C6CD1"/>
    <w:rsid w:val="003D154B"/>
    <w:rsid w:val="003D4A31"/>
    <w:rsid w:val="003D5773"/>
    <w:rsid w:val="003D5B7C"/>
    <w:rsid w:val="003E10D6"/>
    <w:rsid w:val="003E3E1D"/>
    <w:rsid w:val="003E560A"/>
    <w:rsid w:val="003E6914"/>
    <w:rsid w:val="003E694D"/>
    <w:rsid w:val="003F0AD1"/>
    <w:rsid w:val="003F167F"/>
    <w:rsid w:val="003F21C9"/>
    <w:rsid w:val="003F62C3"/>
    <w:rsid w:val="003F7CAD"/>
    <w:rsid w:val="00401152"/>
    <w:rsid w:val="00415031"/>
    <w:rsid w:val="0042024D"/>
    <w:rsid w:val="00422C0E"/>
    <w:rsid w:val="00423EAF"/>
    <w:rsid w:val="004253CB"/>
    <w:rsid w:val="0042697C"/>
    <w:rsid w:val="004345DC"/>
    <w:rsid w:val="00437117"/>
    <w:rsid w:val="00437DC3"/>
    <w:rsid w:val="004431F4"/>
    <w:rsid w:val="004438BA"/>
    <w:rsid w:val="004456B9"/>
    <w:rsid w:val="00447B1F"/>
    <w:rsid w:val="00455604"/>
    <w:rsid w:val="0046288A"/>
    <w:rsid w:val="00464F55"/>
    <w:rsid w:val="004714CA"/>
    <w:rsid w:val="00472E6E"/>
    <w:rsid w:val="00474C9A"/>
    <w:rsid w:val="00477290"/>
    <w:rsid w:val="004803CE"/>
    <w:rsid w:val="00483C2B"/>
    <w:rsid w:val="0049103B"/>
    <w:rsid w:val="00491ED1"/>
    <w:rsid w:val="00495028"/>
    <w:rsid w:val="004A31C9"/>
    <w:rsid w:val="004A4208"/>
    <w:rsid w:val="004A523B"/>
    <w:rsid w:val="004A688A"/>
    <w:rsid w:val="004A6AE9"/>
    <w:rsid w:val="004B07EC"/>
    <w:rsid w:val="004B25C6"/>
    <w:rsid w:val="004B42C9"/>
    <w:rsid w:val="004B5587"/>
    <w:rsid w:val="004B608F"/>
    <w:rsid w:val="004B67E3"/>
    <w:rsid w:val="004C0331"/>
    <w:rsid w:val="004C060B"/>
    <w:rsid w:val="004C0F99"/>
    <w:rsid w:val="004C21CC"/>
    <w:rsid w:val="004C4757"/>
    <w:rsid w:val="004D1EB0"/>
    <w:rsid w:val="004D351B"/>
    <w:rsid w:val="004D3716"/>
    <w:rsid w:val="004D3DE2"/>
    <w:rsid w:val="004D4827"/>
    <w:rsid w:val="004E0AA9"/>
    <w:rsid w:val="004E229D"/>
    <w:rsid w:val="004E54AD"/>
    <w:rsid w:val="004E6197"/>
    <w:rsid w:val="004F3131"/>
    <w:rsid w:val="004F41C0"/>
    <w:rsid w:val="004F4850"/>
    <w:rsid w:val="0050031E"/>
    <w:rsid w:val="005034DF"/>
    <w:rsid w:val="0050539A"/>
    <w:rsid w:val="00517566"/>
    <w:rsid w:val="005220E6"/>
    <w:rsid w:val="005232DE"/>
    <w:rsid w:val="0052346B"/>
    <w:rsid w:val="00523A28"/>
    <w:rsid w:val="00525B1D"/>
    <w:rsid w:val="0053562A"/>
    <w:rsid w:val="00542E5E"/>
    <w:rsid w:val="005547FE"/>
    <w:rsid w:val="0055523F"/>
    <w:rsid w:val="005578E8"/>
    <w:rsid w:val="00560096"/>
    <w:rsid w:val="00560302"/>
    <w:rsid w:val="00561666"/>
    <w:rsid w:val="00562B3D"/>
    <w:rsid w:val="0056588B"/>
    <w:rsid w:val="00567C64"/>
    <w:rsid w:val="005708F0"/>
    <w:rsid w:val="00573106"/>
    <w:rsid w:val="005736CC"/>
    <w:rsid w:val="0057447E"/>
    <w:rsid w:val="005771E9"/>
    <w:rsid w:val="00577FD6"/>
    <w:rsid w:val="005800DC"/>
    <w:rsid w:val="005825C9"/>
    <w:rsid w:val="00582C20"/>
    <w:rsid w:val="0058415B"/>
    <w:rsid w:val="005932C6"/>
    <w:rsid w:val="00596330"/>
    <w:rsid w:val="00597F68"/>
    <w:rsid w:val="005A2232"/>
    <w:rsid w:val="005A33FA"/>
    <w:rsid w:val="005A688F"/>
    <w:rsid w:val="005A7DB3"/>
    <w:rsid w:val="005A7DE2"/>
    <w:rsid w:val="005C1FD0"/>
    <w:rsid w:val="005C315F"/>
    <w:rsid w:val="005C414B"/>
    <w:rsid w:val="005C43F2"/>
    <w:rsid w:val="005C45F0"/>
    <w:rsid w:val="005D1A03"/>
    <w:rsid w:val="005D3B83"/>
    <w:rsid w:val="005E0753"/>
    <w:rsid w:val="005E0899"/>
    <w:rsid w:val="005E0AB3"/>
    <w:rsid w:val="005E146D"/>
    <w:rsid w:val="005E376D"/>
    <w:rsid w:val="005F09A9"/>
    <w:rsid w:val="005F1DFF"/>
    <w:rsid w:val="005F36B4"/>
    <w:rsid w:val="005F6D34"/>
    <w:rsid w:val="005F76C6"/>
    <w:rsid w:val="00622B1A"/>
    <w:rsid w:val="00623679"/>
    <w:rsid w:val="00624388"/>
    <w:rsid w:val="00627928"/>
    <w:rsid w:val="0063467F"/>
    <w:rsid w:val="006349F2"/>
    <w:rsid w:val="00644ADF"/>
    <w:rsid w:val="00645B64"/>
    <w:rsid w:val="00647765"/>
    <w:rsid w:val="00652D93"/>
    <w:rsid w:val="00652EB5"/>
    <w:rsid w:val="00652ED7"/>
    <w:rsid w:val="006533BD"/>
    <w:rsid w:val="0066484B"/>
    <w:rsid w:val="00665850"/>
    <w:rsid w:val="00667DF0"/>
    <w:rsid w:val="00673D5D"/>
    <w:rsid w:val="00675C66"/>
    <w:rsid w:val="00677B3E"/>
    <w:rsid w:val="00681ABF"/>
    <w:rsid w:val="00686292"/>
    <w:rsid w:val="0068637C"/>
    <w:rsid w:val="00690756"/>
    <w:rsid w:val="00690B3D"/>
    <w:rsid w:val="006971FF"/>
    <w:rsid w:val="006A08A7"/>
    <w:rsid w:val="006A4BF4"/>
    <w:rsid w:val="006A55A0"/>
    <w:rsid w:val="006A6052"/>
    <w:rsid w:val="006A6BBA"/>
    <w:rsid w:val="006B24E2"/>
    <w:rsid w:val="006B2CEC"/>
    <w:rsid w:val="006B47AD"/>
    <w:rsid w:val="006B5E61"/>
    <w:rsid w:val="006B74A3"/>
    <w:rsid w:val="006C1655"/>
    <w:rsid w:val="006C36C3"/>
    <w:rsid w:val="006C5046"/>
    <w:rsid w:val="006C7F88"/>
    <w:rsid w:val="006D07E1"/>
    <w:rsid w:val="006D78C3"/>
    <w:rsid w:val="006D7EAB"/>
    <w:rsid w:val="006E0942"/>
    <w:rsid w:val="006E10F1"/>
    <w:rsid w:val="006E498C"/>
    <w:rsid w:val="006E4A62"/>
    <w:rsid w:val="006E670F"/>
    <w:rsid w:val="006E6C20"/>
    <w:rsid w:val="006F4815"/>
    <w:rsid w:val="00702EE9"/>
    <w:rsid w:val="00705445"/>
    <w:rsid w:val="007074DE"/>
    <w:rsid w:val="00710A12"/>
    <w:rsid w:val="007148AF"/>
    <w:rsid w:val="00716131"/>
    <w:rsid w:val="0071703A"/>
    <w:rsid w:val="00717D12"/>
    <w:rsid w:val="0072033A"/>
    <w:rsid w:val="007216B7"/>
    <w:rsid w:val="00721F68"/>
    <w:rsid w:val="00734294"/>
    <w:rsid w:val="00737C6B"/>
    <w:rsid w:val="00747BFA"/>
    <w:rsid w:val="00750394"/>
    <w:rsid w:val="00754FBA"/>
    <w:rsid w:val="007551A2"/>
    <w:rsid w:val="00755922"/>
    <w:rsid w:val="007605FA"/>
    <w:rsid w:val="00760AF4"/>
    <w:rsid w:val="007624D6"/>
    <w:rsid w:val="0076577A"/>
    <w:rsid w:val="007657F2"/>
    <w:rsid w:val="00767A66"/>
    <w:rsid w:val="00771891"/>
    <w:rsid w:val="007720C7"/>
    <w:rsid w:val="00774680"/>
    <w:rsid w:val="00775AD0"/>
    <w:rsid w:val="00776891"/>
    <w:rsid w:val="00777D24"/>
    <w:rsid w:val="007807C7"/>
    <w:rsid w:val="00781FFD"/>
    <w:rsid w:val="00783DBA"/>
    <w:rsid w:val="00785B72"/>
    <w:rsid w:val="007865A0"/>
    <w:rsid w:val="0078662E"/>
    <w:rsid w:val="00786688"/>
    <w:rsid w:val="00792499"/>
    <w:rsid w:val="007A46EB"/>
    <w:rsid w:val="007A59CE"/>
    <w:rsid w:val="007A650F"/>
    <w:rsid w:val="007B3070"/>
    <w:rsid w:val="007B55D3"/>
    <w:rsid w:val="007B7FBB"/>
    <w:rsid w:val="007C1534"/>
    <w:rsid w:val="007C676F"/>
    <w:rsid w:val="007C7ABC"/>
    <w:rsid w:val="007D3E96"/>
    <w:rsid w:val="007E0E79"/>
    <w:rsid w:val="007E1AF8"/>
    <w:rsid w:val="007E6D9B"/>
    <w:rsid w:val="007F1274"/>
    <w:rsid w:val="007F1CE3"/>
    <w:rsid w:val="007F1FC1"/>
    <w:rsid w:val="007F4A3B"/>
    <w:rsid w:val="007F6EB9"/>
    <w:rsid w:val="00800E69"/>
    <w:rsid w:val="00801627"/>
    <w:rsid w:val="00802102"/>
    <w:rsid w:val="008034C9"/>
    <w:rsid w:val="00805279"/>
    <w:rsid w:val="0081087D"/>
    <w:rsid w:val="008129C4"/>
    <w:rsid w:val="00813AEF"/>
    <w:rsid w:val="00821B17"/>
    <w:rsid w:val="0082282C"/>
    <w:rsid w:val="00822D0E"/>
    <w:rsid w:val="00823A34"/>
    <w:rsid w:val="0082718E"/>
    <w:rsid w:val="00827DEC"/>
    <w:rsid w:val="00834197"/>
    <w:rsid w:val="008346DA"/>
    <w:rsid w:val="00851392"/>
    <w:rsid w:val="008514B0"/>
    <w:rsid w:val="00851939"/>
    <w:rsid w:val="00851B9B"/>
    <w:rsid w:val="0086008E"/>
    <w:rsid w:val="0086366F"/>
    <w:rsid w:val="00864AAE"/>
    <w:rsid w:val="008664A6"/>
    <w:rsid w:val="00870B3E"/>
    <w:rsid w:val="00872E5F"/>
    <w:rsid w:val="00876970"/>
    <w:rsid w:val="008805FC"/>
    <w:rsid w:val="00880F92"/>
    <w:rsid w:val="008820F7"/>
    <w:rsid w:val="0089411F"/>
    <w:rsid w:val="008A161F"/>
    <w:rsid w:val="008A3727"/>
    <w:rsid w:val="008A4FEA"/>
    <w:rsid w:val="008B4CC6"/>
    <w:rsid w:val="008B747D"/>
    <w:rsid w:val="008C0657"/>
    <w:rsid w:val="008C4E55"/>
    <w:rsid w:val="008C5EC7"/>
    <w:rsid w:val="008D1587"/>
    <w:rsid w:val="008D39EA"/>
    <w:rsid w:val="008D568C"/>
    <w:rsid w:val="008D724C"/>
    <w:rsid w:val="008D7600"/>
    <w:rsid w:val="008D7F83"/>
    <w:rsid w:val="008E11A3"/>
    <w:rsid w:val="008E6D6B"/>
    <w:rsid w:val="008F46F0"/>
    <w:rsid w:val="008F573B"/>
    <w:rsid w:val="0090102C"/>
    <w:rsid w:val="009026A1"/>
    <w:rsid w:val="00902D18"/>
    <w:rsid w:val="00902F71"/>
    <w:rsid w:val="00903904"/>
    <w:rsid w:val="009046BE"/>
    <w:rsid w:val="0090615F"/>
    <w:rsid w:val="00906555"/>
    <w:rsid w:val="00906D34"/>
    <w:rsid w:val="00910C10"/>
    <w:rsid w:val="00911CBF"/>
    <w:rsid w:val="00912433"/>
    <w:rsid w:val="009146F1"/>
    <w:rsid w:val="009162B5"/>
    <w:rsid w:val="009164F8"/>
    <w:rsid w:val="009203E3"/>
    <w:rsid w:val="009242EA"/>
    <w:rsid w:val="00926FA0"/>
    <w:rsid w:val="0093255C"/>
    <w:rsid w:val="00940386"/>
    <w:rsid w:val="0095266F"/>
    <w:rsid w:val="00957A4D"/>
    <w:rsid w:val="00964052"/>
    <w:rsid w:val="00967743"/>
    <w:rsid w:val="009707E5"/>
    <w:rsid w:val="009735A6"/>
    <w:rsid w:val="00981034"/>
    <w:rsid w:val="00982895"/>
    <w:rsid w:val="00982FC7"/>
    <w:rsid w:val="009847F4"/>
    <w:rsid w:val="009877A5"/>
    <w:rsid w:val="00987FFC"/>
    <w:rsid w:val="009901FA"/>
    <w:rsid w:val="00991440"/>
    <w:rsid w:val="00993F09"/>
    <w:rsid w:val="00993F0A"/>
    <w:rsid w:val="00995469"/>
    <w:rsid w:val="009960B8"/>
    <w:rsid w:val="009A46C7"/>
    <w:rsid w:val="009A5534"/>
    <w:rsid w:val="009B2536"/>
    <w:rsid w:val="009B5A21"/>
    <w:rsid w:val="009C266D"/>
    <w:rsid w:val="009C52B5"/>
    <w:rsid w:val="009C60C3"/>
    <w:rsid w:val="009C7A35"/>
    <w:rsid w:val="009D2A0A"/>
    <w:rsid w:val="009D3232"/>
    <w:rsid w:val="009E1E74"/>
    <w:rsid w:val="009F0C9D"/>
    <w:rsid w:val="009F11DD"/>
    <w:rsid w:val="009F1F7D"/>
    <w:rsid w:val="009F5B4C"/>
    <w:rsid w:val="009F6496"/>
    <w:rsid w:val="00A0454F"/>
    <w:rsid w:val="00A04A32"/>
    <w:rsid w:val="00A10CA4"/>
    <w:rsid w:val="00A10DAE"/>
    <w:rsid w:val="00A11332"/>
    <w:rsid w:val="00A117D1"/>
    <w:rsid w:val="00A13A2F"/>
    <w:rsid w:val="00A13C52"/>
    <w:rsid w:val="00A17EC3"/>
    <w:rsid w:val="00A24EE3"/>
    <w:rsid w:val="00A255BB"/>
    <w:rsid w:val="00A2721B"/>
    <w:rsid w:val="00A3033F"/>
    <w:rsid w:val="00A312D7"/>
    <w:rsid w:val="00A3329A"/>
    <w:rsid w:val="00A33760"/>
    <w:rsid w:val="00A372CB"/>
    <w:rsid w:val="00A37932"/>
    <w:rsid w:val="00A4138F"/>
    <w:rsid w:val="00A43DBE"/>
    <w:rsid w:val="00A44797"/>
    <w:rsid w:val="00A4492A"/>
    <w:rsid w:val="00A45274"/>
    <w:rsid w:val="00A45C1B"/>
    <w:rsid w:val="00A4646F"/>
    <w:rsid w:val="00A465D8"/>
    <w:rsid w:val="00A46612"/>
    <w:rsid w:val="00A4693C"/>
    <w:rsid w:val="00A57258"/>
    <w:rsid w:val="00A64343"/>
    <w:rsid w:val="00A655E2"/>
    <w:rsid w:val="00A66CDA"/>
    <w:rsid w:val="00A70C41"/>
    <w:rsid w:val="00A73975"/>
    <w:rsid w:val="00A765A9"/>
    <w:rsid w:val="00A77CCB"/>
    <w:rsid w:val="00A80BD5"/>
    <w:rsid w:val="00A83172"/>
    <w:rsid w:val="00A84CB3"/>
    <w:rsid w:val="00A85617"/>
    <w:rsid w:val="00A91688"/>
    <w:rsid w:val="00A92DFB"/>
    <w:rsid w:val="00A95C7D"/>
    <w:rsid w:val="00AA084E"/>
    <w:rsid w:val="00AA1392"/>
    <w:rsid w:val="00AB0606"/>
    <w:rsid w:val="00AB2808"/>
    <w:rsid w:val="00AC42B5"/>
    <w:rsid w:val="00AC6877"/>
    <w:rsid w:val="00AC7007"/>
    <w:rsid w:val="00AD7D8D"/>
    <w:rsid w:val="00AE1643"/>
    <w:rsid w:val="00AE5970"/>
    <w:rsid w:val="00AF2E52"/>
    <w:rsid w:val="00B01ED0"/>
    <w:rsid w:val="00B05690"/>
    <w:rsid w:val="00B11673"/>
    <w:rsid w:val="00B248B8"/>
    <w:rsid w:val="00B266D3"/>
    <w:rsid w:val="00B266F2"/>
    <w:rsid w:val="00B308FB"/>
    <w:rsid w:val="00B30C0D"/>
    <w:rsid w:val="00B3224A"/>
    <w:rsid w:val="00B37525"/>
    <w:rsid w:val="00B45357"/>
    <w:rsid w:val="00B501E9"/>
    <w:rsid w:val="00B534CF"/>
    <w:rsid w:val="00B53AF0"/>
    <w:rsid w:val="00B548DC"/>
    <w:rsid w:val="00B57683"/>
    <w:rsid w:val="00B60F91"/>
    <w:rsid w:val="00B62A30"/>
    <w:rsid w:val="00B64FBE"/>
    <w:rsid w:val="00B66DE6"/>
    <w:rsid w:val="00B677ED"/>
    <w:rsid w:val="00B83E45"/>
    <w:rsid w:val="00B85A61"/>
    <w:rsid w:val="00B9320D"/>
    <w:rsid w:val="00BA143F"/>
    <w:rsid w:val="00BA2CF8"/>
    <w:rsid w:val="00BA4F42"/>
    <w:rsid w:val="00BB43D0"/>
    <w:rsid w:val="00BB6513"/>
    <w:rsid w:val="00BB78F0"/>
    <w:rsid w:val="00BC19AC"/>
    <w:rsid w:val="00BD19BF"/>
    <w:rsid w:val="00BD3250"/>
    <w:rsid w:val="00BD63BC"/>
    <w:rsid w:val="00BD6B50"/>
    <w:rsid w:val="00BD7A06"/>
    <w:rsid w:val="00BE0E20"/>
    <w:rsid w:val="00BE1780"/>
    <w:rsid w:val="00BE465E"/>
    <w:rsid w:val="00BF3FF2"/>
    <w:rsid w:val="00BF4548"/>
    <w:rsid w:val="00BF7B98"/>
    <w:rsid w:val="00C023BA"/>
    <w:rsid w:val="00C02B01"/>
    <w:rsid w:val="00C0329C"/>
    <w:rsid w:val="00C070F8"/>
    <w:rsid w:val="00C10653"/>
    <w:rsid w:val="00C142CB"/>
    <w:rsid w:val="00C17FEC"/>
    <w:rsid w:val="00C20FB4"/>
    <w:rsid w:val="00C21AAD"/>
    <w:rsid w:val="00C22412"/>
    <w:rsid w:val="00C23982"/>
    <w:rsid w:val="00C24369"/>
    <w:rsid w:val="00C245D8"/>
    <w:rsid w:val="00C24CD3"/>
    <w:rsid w:val="00C25475"/>
    <w:rsid w:val="00C26026"/>
    <w:rsid w:val="00C27B5C"/>
    <w:rsid w:val="00C32982"/>
    <w:rsid w:val="00C34571"/>
    <w:rsid w:val="00C36A0F"/>
    <w:rsid w:val="00C37567"/>
    <w:rsid w:val="00C47397"/>
    <w:rsid w:val="00C47403"/>
    <w:rsid w:val="00C4797C"/>
    <w:rsid w:val="00C551FC"/>
    <w:rsid w:val="00C57B0C"/>
    <w:rsid w:val="00C600B2"/>
    <w:rsid w:val="00C615CC"/>
    <w:rsid w:val="00C66623"/>
    <w:rsid w:val="00C70BE5"/>
    <w:rsid w:val="00C712A1"/>
    <w:rsid w:val="00C71595"/>
    <w:rsid w:val="00C758D8"/>
    <w:rsid w:val="00C765D7"/>
    <w:rsid w:val="00C770D1"/>
    <w:rsid w:val="00C81315"/>
    <w:rsid w:val="00C83A25"/>
    <w:rsid w:val="00C855A9"/>
    <w:rsid w:val="00C86094"/>
    <w:rsid w:val="00C8759E"/>
    <w:rsid w:val="00C92466"/>
    <w:rsid w:val="00C93F7A"/>
    <w:rsid w:val="00C95030"/>
    <w:rsid w:val="00C95DB4"/>
    <w:rsid w:val="00CA1714"/>
    <w:rsid w:val="00CA31C0"/>
    <w:rsid w:val="00CA4131"/>
    <w:rsid w:val="00CA4564"/>
    <w:rsid w:val="00CA4732"/>
    <w:rsid w:val="00CA558F"/>
    <w:rsid w:val="00CA6A91"/>
    <w:rsid w:val="00CB0F17"/>
    <w:rsid w:val="00CB302A"/>
    <w:rsid w:val="00CC127C"/>
    <w:rsid w:val="00CC25DE"/>
    <w:rsid w:val="00CC29E4"/>
    <w:rsid w:val="00CD4A41"/>
    <w:rsid w:val="00CD75DA"/>
    <w:rsid w:val="00CE016A"/>
    <w:rsid w:val="00CE23A0"/>
    <w:rsid w:val="00CE79C4"/>
    <w:rsid w:val="00CF2101"/>
    <w:rsid w:val="00CF5301"/>
    <w:rsid w:val="00CF554F"/>
    <w:rsid w:val="00CF56BF"/>
    <w:rsid w:val="00D02E8D"/>
    <w:rsid w:val="00D06ADA"/>
    <w:rsid w:val="00D079DF"/>
    <w:rsid w:val="00D1551C"/>
    <w:rsid w:val="00D25D99"/>
    <w:rsid w:val="00D3051A"/>
    <w:rsid w:val="00D31F26"/>
    <w:rsid w:val="00D33DC1"/>
    <w:rsid w:val="00D41F3E"/>
    <w:rsid w:val="00D41F74"/>
    <w:rsid w:val="00D4472E"/>
    <w:rsid w:val="00D462B0"/>
    <w:rsid w:val="00D52396"/>
    <w:rsid w:val="00D544C8"/>
    <w:rsid w:val="00D55BAC"/>
    <w:rsid w:val="00D57627"/>
    <w:rsid w:val="00D6216A"/>
    <w:rsid w:val="00D654CE"/>
    <w:rsid w:val="00D659DD"/>
    <w:rsid w:val="00D66BDA"/>
    <w:rsid w:val="00D76807"/>
    <w:rsid w:val="00D77E8E"/>
    <w:rsid w:val="00D77F72"/>
    <w:rsid w:val="00D82ACB"/>
    <w:rsid w:val="00D840CF"/>
    <w:rsid w:val="00D854EB"/>
    <w:rsid w:val="00D874C6"/>
    <w:rsid w:val="00D96544"/>
    <w:rsid w:val="00DA192A"/>
    <w:rsid w:val="00DA2192"/>
    <w:rsid w:val="00DA2F60"/>
    <w:rsid w:val="00DA70CB"/>
    <w:rsid w:val="00DB01B5"/>
    <w:rsid w:val="00DB0628"/>
    <w:rsid w:val="00DB461E"/>
    <w:rsid w:val="00DC531C"/>
    <w:rsid w:val="00DC765B"/>
    <w:rsid w:val="00DD2A2A"/>
    <w:rsid w:val="00DE0BF0"/>
    <w:rsid w:val="00DE2FDC"/>
    <w:rsid w:val="00DE3525"/>
    <w:rsid w:val="00DE36DB"/>
    <w:rsid w:val="00DE5164"/>
    <w:rsid w:val="00DE78E6"/>
    <w:rsid w:val="00DE7F3D"/>
    <w:rsid w:val="00DF075F"/>
    <w:rsid w:val="00DF4ED0"/>
    <w:rsid w:val="00DF6807"/>
    <w:rsid w:val="00E026D8"/>
    <w:rsid w:val="00E077D1"/>
    <w:rsid w:val="00E113F6"/>
    <w:rsid w:val="00E13897"/>
    <w:rsid w:val="00E15831"/>
    <w:rsid w:val="00E1775B"/>
    <w:rsid w:val="00E31FA3"/>
    <w:rsid w:val="00E33F02"/>
    <w:rsid w:val="00E362B7"/>
    <w:rsid w:val="00E40112"/>
    <w:rsid w:val="00E42F93"/>
    <w:rsid w:val="00E53AF8"/>
    <w:rsid w:val="00E54104"/>
    <w:rsid w:val="00E54334"/>
    <w:rsid w:val="00E54C0A"/>
    <w:rsid w:val="00E601BF"/>
    <w:rsid w:val="00E624BF"/>
    <w:rsid w:val="00E65D9A"/>
    <w:rsid w:val="00E71A1D"/>
    <w:rsid w:val="00E73B52"/>
    <w:rsid w:val="00E81BF0"/>
    <w:rsid w:val="00E83224"/>
    <w:rsid w:val="00E8693C"/>
    <w:rsid w:val="00E90356"/>
    <w:rsid w:val="00E92826"/>
    <w:rsid w:val="00E96FAE"/>
    <w:rsid w:val="00EA1625"/>
    <w:rsid w:val="00EA2920"/>
    <w:rsid w:val="00EA32A7"/>
    <w:rsid w:val="00EA4362"/>
    <w:rsid w:val="00EA6E13"/>
    <w:rsid w:val="00EB07DD"/>
    <w:rsid w:val="00EB089D"/>
    <w:rsid w:val="00EB0EA7"/>
    <w:rsid w:val="00EB1E5D"/>
    <w:rsid w:val="00EB2568"/>
    <w:rsid w:val="00EB4358"/>
    <w:rsid w:val="00EB51A7"/>
    <w:rsid w:val="00EB78B2"/>
    <w:rsid w:val="00EC090C"/>
    <w:rsid w:val="00EC168D"/>
    <w:rsid w:val="00EC3559"/>
    <w:rsid w:val="00ED6648"/>
    <w:rsid w:val="00EE2686"/>
    <w:rsid w:val="00EE2E56"/>
    <w:rsid w:val="00EE4224"/>
    <w:rsid w:val="00EE4C29"/>
    <w:rsid w:val="00EE56A8"/>
    <w:rsid w:val="00EF1EBB"/>
    <w:rsid w:val="00EF5865"/>
    <w:rsid w:val="00EF6213"/>
    <w:rsid w:val="00EF764C"/>
    <w:rsid w:val="00F021EE"/>
    <w:rsid w:val="00F04D57"/>
    <w:rsid w:val="00F05ED4"/>
    <w:rsid w:val="00F1127F"/>
    <w:rsid w:val="00F11F8D"/>
    <w:rsid w:val="00F173A2"/>
    <w:rsid w:val="00F21DC8"/>
    <w:rsid w:val="00F239F1"/>
    <w:rsid w:val="00F24122"/>
    <w:rsid w:val="00F253A4"/>
    <w:rsid w:val="00F267B8"/>
    <w:rsid w:val="00F26EF4"/>
    <w:rsid w:val="00F27B88"/>
    <w:rsid w:val="00F317EC"/>
    <w:rsid w:val="00F3272D"/>
    <w:rsid w:val="00F32DF6"/>
    <w:rsid w:val="00F3453E"/>
    <w:rsid w:val="00F353B2"/>
    <w:rsid w:val="00F363C5"/>
    <w:rsid w:val="00F4161E"/>
    <w:rsid w:val="00F41DC3"/>
    <w:rsid w:val="00F4395F"/>
    <w:rsid w:val="00F46D3E"/>
    <w:rsid w:val="00F533CD"/>
    <w:rsid w:val="00F53A3A"/>
    <w:rsid w:val="00F54A65"/>
    <w:rsid w:val="00F54E79"/>
    <w:rsid w:val="00F56EBF"/>
    <w:rsid w:val="00F57157"/>
    <w:rsid w:val="00F611ED"/>
    <w:rsid w:val="00F63E20"/>
    <w:rsid w:val="00F6658B"/>
    <w:rsid w:val="00F700F9"/>
    <w:rsid w:val="00F7640B"/>
    <w:rsid w:val="00F80605"/>
    <w:rsid w:val="00F808E9"/>
    <w:rsid w:val="00F81FB1"/>
    <w:rsid w:val="00F85AFD"/>
    <w:rsid w:val="00F85B95"/>
    <w:rsid w:val="00F8D6CA"/>
    <w:rsid w:val="00F904A1"/>
    <w:rsid w:val="00F942C5"/>
    <w:rsid w:val="00F95FBF"/>
    <w:rsid w:val="00F9690B"/>
    <w:rsid w:val="00FA0883"/>
    <w:rsid w:val="00FA3D5E"/>
    <w:rsid w:val="00FA61D9"/>
    <w:rsid w:val="00FA7C91"/>
    <w:rsid w:val="00FB46E7"/>
    <w:rsid w:val="00FB4FE4"/>
    <w:rsid w:val="00FC1F54"/>
    <w:rsid w:val="00FC3933"/>
    <w:rsid w:val="00FC3A15"/>
    <w:rsid w:val="00FC6829"/>
    <w:rsid w:val="00FC6D85"/>
    <w:rsid w:val="00FD298D"/>
    <w:rsid w:val="00FD4536"/>
    <w:rsid w:val="00FD51B3"/>
    <w:rsid w:val="00FD716F"/>
    <w:rsid w:val="00FE084D"/>
    <w:rsid w:val="00FE2D32"/>
    <w:rsid w:val="00FE63DE"/>
    <w:rsid w:val="00FE75BD"/>
    <w:rsid w:val="00FE7D99"/>
    <w:rsid w:val="00FF0008"/>
    <w:rsid w:val="00FF27BD"/>
    <w:rsid w:val="00FF2FE1"/>
    <w:rsid w:val="00FF57B2"/>
    <w:rsid w:val="08FE6C39"/>
    <w:rsid w:val="0BFB6E79"/>
    <w:rsid w:val="0C202FF5"/>
    <w:rsid w:val="0C68BB59"/>
    <w:rsid w:val="1374B046"/>
    <w:rsid w:val="1520EFE0"/>
    <w:rsid w:val="153EB996"/>
    <w:rsid w:val="153F1B75"/>
    <w:rsid w:val="161ACA58"/>
    <w:rsid w:val="16DA406D"/>
    <w:rsid w:val="177D6C1C"/>
    <w:rsid w:val="1B99EDB0"/>
    <w:rsid w:val="1C5D396E"/>
    <w:rsid w:val="21633617"/>
    <w:rsid w:val="22CE28E4"/>
    <w:rsid w:val="230ACF52"/>
    <w:rsid w:val="242BD864"/>
    <w:rsid w:val="24BEF394"/>
    <w:rsid w:val="265AF3BD"/>
    <w:rsid w:val="28138753"/>
    <w:rsid w:val="2AA8E8D8"/>
    <w:rsid w:val="2C9A123E"/>
    <w:rsid w:val="2EFEE597"/>
    <w:rsid w:val="30DACC1C"/>
    <w:rsid w:val="318E2933"/>
    <w:rsid w:val="329EDE8E"/>
    <w:rsid w:val="33C21E22"/>
    <w:rsid w:val="373FA9E5"/>
    <w:rsid w:val="3903431C"/>
    <w:rsid w:val="3D6879BE"/>
    <w:rsid w:val="3E45BA56"/>
    <w:rsid w:val="3EFFE40D"/>
    <w:rsid w:val="3F0E3084"/>
    <w:rsid w:val="409E2F0C"/>
    <w:rsid w:val="41E6AB5E"/>
    <w:rsid w:val="41ED54C9"/>
    <w:rsid w:val="43DFB956"/>
    <w:rsid w:val="46DA9201"/>
    <w:rsid w:val="4FCB8B2B"/>
    <w:rsid w:val="506B60DF"/>
    <w:rsid w:val="506C704C"/>
    <w:rsid w:val="51058931"/>
    <w:rsid w:val="52BF7358"/>
    <w:rsid w:val="542F625B"/>
    <w:rsid w:val="56CC25BB"/>
    <w:rsid w:val="5A2F0481"/>
    <w:rsid w:val="5B752760"/>
    <w:rsid w:val="5D26DE7C"/>
    <w:rsid w:val="5F93404D"/>
    <w:rsid w:val="6399AD20"/>
    <w:rsid w:val="641D2718"/>
    <w:rsid w:val="64A714F6"/>
    <w:rsid w:val="64DBB7C9"/>
    <w:rsid w:val="652E4B00"/>
    <w:rsid w:val="6665A51B"/>
    <w:rsid w:val="66D56578"/>
    <w:rsid w:val="67013372"/>
    <w:rsid w:val="67E50EAC"/>
    <w:rsid w:val="689D2DDA"/>
    <w:rsid w:val="6906CB40"/>
    <w:rsid w:val="69C5CE25"/>
    <w:rsid w:val="69EAFACE"/>
    <w:rsid w:val="6B0ECFFE"/>
    <w:rsid w:val="6C2F8EA4"/>
    <w:rsid w:val="6D8417E8"/>
    <w:rsid w:val="6ED22BB6"/>
    <w:rsid w:val="6F20B1F4"/>
    <w:rsid w:val="6F3A5C03"/>
    <w:rsid w:val="75DB33C0"/>
    <w:rsid w:val="7710A3EB"/>
    <w:rsid w:val="7AF3D43E"/>
    <w:rsid w:val="7BA756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75CAB"/>
  <w15:chartTrackingRefBased/>
  <w15:docId w15:val="{61869C5C-2D6E-43FB-81B0-B05ECDFD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semiHidden/>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2"/>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3"/>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2"/>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semiHidden/>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link w:val="ListParagraphChar"/>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ListParagraphChar">
    <w:name w:val="List Paragraph Char"/>
    <w:basedOn w:val="DefaultParagraphFont"/>
    <w:link w:val="ListParagraph"/>
    <w:uiPriority w:val="34"/>
    <w:locked/>
    <w:rsid w:val="00BD7A06"/>
    <w:rPr>
      <w:sz w:val="24"/>
      <w:lang w:val="en-US"/>
    </w:rPr>
  </w:style>
  <w:style w:type="table" w:customStyle="1" w:styleId="TableGrid10">
    <w:name w:val="Table Grid1"/>
    <w:basedOn w:val="TableNormal"/>
    <w:next w:val="TableGrid"/>
    <w:uiPriority w:val="39"/>
    <w:rsid w:val="000121F3"/>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0E22F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BodyText"/>
    <w:autoRedefine/>
    <w:uiPriority w:val="1"/>
    <w:qFormat/>
    <w:rsid w:val="00D31F26"/>
    <w:pPr>
      <w:spacing w:after="0"/>
      <w:ind w:left="-20"/>
    </w:pPr>
    <w:rPr>
      <w:rFonts w:asciiTheme="minorHAnsi" w:hAnsiTheme="minorHAnsi"/>
      <w:sz w:val="22"/>
      <w:lang w:val="en-GB"/>
    </w:rPr>
  </w:style>
  <w:style w:type="paragraph" w:styleId="Revision">
    <w:name w:val="Revision"/>
    <w:hidden/>
    <w:uiPriority w:val="99"/>
    <w:semiHidden/>
    <w:rsid w:val="00686292"/>
    <w:pPr>
      <w:spacing w:after="0" w:line="240" w:lineRule="auto"/>
    </w:pPr>
    <w:rPr>
      <w:sz w:val="24"/>
      <w:lang w:val="en-US"/>
    </w:rPr>
  </w:style>
  <w:style w:type="character" w:styleId="Mention">
    <w:name w:val="Mention"/>
    <w:basedOn w:val="DefaultParagraphFont"/>
    <w:uiPriority w:val="99"/>
    <w:unhideWhenUsed/>
    <w:rsid w:val="00015A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572">
      <w:bodyDiv w:val="1"/>
      <w:marLeft w:val="0"/>
      <w:marRight w:val="0"/>
      <w:marTop w:val="0"/>
      <w:marBottom w:val="0"/>
      <w:divBdr>
        <w:top w:val="none" w:sz="0" w:space="0" w:color="auto"/>
        <w:left w:val="none" w:sz="0" w:space="0" w:color="auto"/>
        <w:bottom w:val="none" w:sz="0" w:space="0" w:color="auto"/>
        <w:right w:val="none" w:sz="0" w:space="0" w:color="auto"/>
      </w:divBdr>
    </w:div>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379401657">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836195427">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who.int/universal-health-coverage/compendium" TargetMode="External"/><Relationship Id="rId1" Type="http://schemas.openxmlformats.org/officeDocument/2006/relationships/hyperlink" Target="https://www.theglobalfund.org/media/8973/fundingmodel_modularframework_handbook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ash-mendez\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TemplafyTemplateConfiguration><![CDATA[{"elementsMetadata":[{"type":"pictureContentControl","id":"cec19c73-3368-465e-8f6f-e6458154e2e1","elementConfiguration":{"inheritDimensions":"inheritHeight","binding":"Form.DocLang.Logo_stacked_colour","removeAndKeepContent":false,"disableUpdates":false,"type":"image"}},{"type":"richTextContentControl","id":"f5053b23-5f6c-425a-9b7d-da0286fcf3dc","elementConfiguration":{"binding":"Form.DocLang.CoDesc","removeAndKeepContent":false,"disableUpdates":false,"type":"text"}},{"type":"richTextContentControl","id":"c2b4ff9b-dc86-4792-bcc3-521bbc3a8131","elementConfiguration":{"binding":"Form.DocLang.LtrAddress","removeAndKeepContent":false,"disableUpdates":false,"type":"text"}},{"type":"pictureContentControl","id":"2e20aeaa-a5ac-4b4e-ae56-42767782496e","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3.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6147F0DED507D54B9B8A932210535672" ma:contentTypeVersion="16" ma:contentTypeDescription="Create a new document." ma:contentTypeScope="" ma:versionID="3ba53827bfb8e7d3bfef7195abe4d77b">
  <xsd:schema xmlns:xsd="http://www.w3.org/2001/XMLSchema" xmlns:xs="http://www.w3.org/2001/XMLSchema" xmlns:p="http://schemas.microsoft.com/office/2006/metadata/properties" xmlns:ns1="http://schemas.microsoft.com/sharepoint/v3" xmlns:ns3="b9c94686-d0cb-4429-a249-c6f5453615e4" xmlns:ns4="4a2659b7-cdb2-46af-97ca-8032de328df3" targetNamespace="http://schemas.microsoft.com/office/2006/metadata/properties" ma:root="true" ma:fieldsID="72fb67cd10e95f13b3a8802b3365a36c" ns1:_="" ns3:_="" ns4:_="">
    <xsd:import namespace="http://schemas.microsoft.com/sharepoint/v3"/>
    <xsd:import namespace="b9c94686-d0cb-4429-a249-c6f5453615e4"/>
    <xsd:import namespace="4a2659b7-cdb2-46af-97ca-8032de328d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94686-d0cb-4429-a249-c6f545361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659b7-cdb2-46af-97ca-8032de328d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2428A-8B93-4DDC-8FD1-CA899A14F7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51448001-75A1-4816-9993-B36B3A970AC8}">
  <ds:schemaRefs/>
</ds:datastoreItem>
</file>

<file path=customXml/itemProps4.xml><?xml version="1.0" encoding="utf-8"?>
<ds:datastoreItem xmlns:ds="http://schemas.openxmlformats.org/officeDocument/2006/customXml" ds:itemID="{A6D25019-27F2-4779-AAE5-75B7DB99D609}">
  <ds:schemaRefs>
    <ds:schemaRef ds:uri="http://schemas.microsoft.com/sharepoint/v3/contenttype/forms"/>
  </ds:schemaRefs>
</ds:datastoreItem>
</file>

<file path=customXml/itemProps5.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6.xml><?xml version="1.0" encoding="utf-8"?>
<ds:datastoreItem xmlns:ds="http://schemas.openxmlformats.org/officeDocument/2006/customXml" ds:itemID="{7FC26039-8C66-4FCB-AE64-38CEFB58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94686-d0cb-4429-a249-c6f5453615e4"/>
    <ds:schemaRef ds:uri="4a2659b7-cdb2-46af-97ca-8032de32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13</TotalTime>
  <Pages>8</Pages>
  <Words>2890</Words>
  <Characters>15930</Characters>
  <DocSecurity>0</DocSecurity>
  <Lines>379</Lines>
  <Paragraphs>128</Paragraphs>
  <ScaleCrop>false</ScaleCrop>
  <Company/>
  <LinksUpToDate>false</LinksUpToDate>
  <CharactersWithSpaces>18692</CharactersWithSpaces>
  <SharedDoc>false</SharedDoc>
  <HLinks>
    <vt:vector size="30" baseType="variant">
      <vt:variant>
        <vt:i4>7667712</vt:i4>
      </vt:variant>
      <vt:variant>
        <vt:i4>3</vt:i4>
      </vt:variant>
      <vt:variant>
        <vt:i4>0</vt:i4>
      </vt:variant>
      <vt:variant>
        <vt:i4>5</vt:i4>
      </vt:variant>
      <vt:variant>
        <vt:lpwstr>https://www.theglobalfund.org/media/4759/core_resilientsustainablesystemsforhealth_infonote_en.pdf</vt:lpwstr>
      </vt:variant>
      <vt:variant>
        <vt:lpwstr/>
      </vt:variant>
      <vt:variant>
        <vt:i4>3342430</vt:i4>
      </vt:variant>
      <vt:variant>
        <vt:i4>0</vt:i4>
      </vt:variant>
      <vt:variant>
        <vt:i4>0</vt:i4>
      </vt:variant>
      <vt:variant>
        <vt:i4>5</vt:i4>
      </vt:variant>
      <vt:variant>
        <vt:lpwstr>https://www.theglobalfund.org/media/4755/fundingmodel_applicanthandbook_guide_en.pdf</vt:lpwstr>
      </vt:variant>
      <vt:variant>
        <vt:lpwstr/>
      </vt:variant>
      <vt:variant>
        <vt:i4>5373959</vt:i4>
      </vt:variant>
      <vt:variant>
        <vt:i4>6</vt:i4>
      </vt:variant>
      <vt:variant>
        <vt:i4>0</vt:i4>
      </vt:variant>
      <vt:variant>
        <vt:i4>5</vt:i4>
      </vt:variant>
      <vt:variant>
        <vt:lpwstr>https://www.who.int/universal-health-coverage/compendium</vt:lpwstr>
      </vt:variant>
      <vt:variant>
        <vt:lpwstr/>
      </vt:variant>
      <vt:variant>
        <vt:i4>7929871</vt:i4>
      </vt:variant>
      <vt:variant>
        <vt:i4>0</vt:i4>
      </vt:variant>
      <vt:variant>
        <vt:i4>0</vt:i4>
      </vt:variant>
      <vt:variant>
        <vt:i4>5</vt:i4>
      </vt:variant>
      <vt:variant>
        <vt:lpwstr>https://www.theglobalfund.org/media/4309/fundingmodel_modularframework_handbook_en.pdf</vt:lpwstr>
      </vt:variant>
      <vt:variant>
        <vt:lpwstr/>
      </vt:variant>
      <vt:variant>
        <vt:i4>2883649</vt:i4>
      </vt:variant>
      <vt:variant>
        <vt:i4>0</vt:i4>
      </vt:variant>
      <vt:variant>
        <vt:i4>0</vt:i4>
      </vt:variant>
      <vt:variant>
        <vt:i4>5</vt:i4>
      </vt:variant>
      <vt:variant>
        <vt:lpwstr>mailto:Nicholas.Oliphant@theglobalfund.org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2019-01-17T22:04:00Z</cp:lastPrinted>
  <dcterms:created xsi:type="dcterms:W3CDTF">2023-05-11T12:55:00Z</dcterms:created>
  <dcterms:modified xsi:type="dcterms:W3CDTF">2023-05-23T12:22:00Z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636916283793332119</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0x0101006147F0DED507D54B9B8A932210535672</vt:lpwstr>
  </property>
  <property fmtid="{D5CDD505-2E9C-101B-9397-08002B2CF9AE}" pid="9" name="MediaServiceImageTags">
    <vt:lpwstr/>
  </property>
  <property fmtid="{D5CDD505-2E9C-101B-9397-08002B2CF9AE}" pid="10" name="_dlc_DocIdItemGuid">
    <vt:lpwstr>3aff9532-3f86-43d5-83b8-66ee7c1509d6</vt:lpwstr>
  </property>
  <property fmtid="{D5CDD505-2E9C-101B-9397-08002B2CF9AE}" pid="11" name="_dlc_DocId">
    <vt:lpwstr>3NAZ7T4E3CZ3-1593233266-1875</vt:lpwstr>
  </property>
  <property fmtid="{D5CDD505-2E9C-101B-9397-08002B2CF9AE}" pid="12" name="_dlc_DocIdUrl">
    <vt:lpwstr>https://tgf.sharepoint.com/sites/TSA2F1/A2FT/_layouts/15/DocIdRedir.aspx?ID=3NAZ7T4E3CZ3-1593233266-1875, 3NAZ7T4E3CZ3-1593233266-1875</vt:lpwstr>
  </property>
</Properties>
</file>