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84557" w14:textId="77777777" w:rsidR="009C5AA6" w:rsidRDefault="009C5AA6" w:rsidP="00FA58D7">
      <w:pPr>
        <w:pStyle w:val="NoSpacing"/>
      </w:pPr>
      <w:bookmarkStart w:id="0" w:name="_GoBack"/>
      <w:bookmarkEnd w:id="0"/>
    </w:p>
    <w:p w14:paraId="16D8EB02" w14:textId="77777777" w:rsidR="00FA58D7" w:rsidRDefault="00FA58D7" w:rsidP="00274ED0"/>
    <w:p w14:paraId="1ABC5B62" w14:textId="77777777" w:rsidR="00FA58D7" w:rsidRDefault="00FA58D7" w:rsidP="00274ED0">
      <w:pPr>
        <w:sectPr w:rsidR="00FA58D7" w:rsidSect="00711013">
          <w:headerReference w:type="even" r:id="rId7"/>
          <w:headerReference w:type="default" r:id="rId8"/>
          <w:footerReference w:type="even" r:id="rId9"/>
          <w:footerReference w:type="default" r:id="rId10"/>
          <w:headerReference w:type="first" r:id="rId11"/>
          <w:footerReference w:type="first" r:id="rId12"/>
          <w:pgSz w:w="11906" w:h="16838" w:code="9"/>
          <w:pgMar w:top="1474" w:right="1474" w:bottom="1474" w:left="1474" w:header="680" w:footer="567" w:gutter="0"/>
          <w:cols w:space="708"/>
          <w:titlePg/>
          <w:docGrid w:linePitch="360"/>
        </w:sectPr>
      </w:pPr>
    </w:p>
    <w:p w14:paraId="470A8628" w14:textId="77777777" w:rsidR="004B007E" w:rsidRPr="004B007E" w:rsidRDefault="004B007E" w:rsidP="004B007E">
      <w:pPr>
        <w:jc w:val="center"/>
        <w:rPr>
          <w:b/>
          <w:bCs/>
          <w:sz w:val="28"/>
          <w:szCs w:val="28"/>
          <w:lang w:val="en-GB"/>
        </w:rPr>
      </w:pPr>
      <w:r w:rsidRPr="004B007E">
        <w:rPr>
          <w:b/>
          <w:bCs/>
          <w:sz w:val="28"/>
          <w:szCs w:val="28"/>
          <w:lang w:val="en-GB"/>
        </w:rPr>
        <w:t>Supply Chain Management review</w:t>
      </w:r>
    </w:p>
    <w:p w14:paraId="79C99846" w14:textId="77777777" w:rsidR="004B007E" w:rsidRPr="00411BAA" w:rsidRDefault="004B007E" w:rsidP="004B007E">
      <w:pPr>
        <w:jc w:val="both"/>
        <w:rPr>
          <w:b/>
          <w:bCs/>
          <w:szCs w:val="22"/>
          <w:lang w:val="en-GB"/>
        </w:rPr>
      </w:pPr>
    </w:p>
    <w:p w14:paraId="45E3BD46" w14:textId="77777777" w:rsidR="004B007E" w:rsidRPr="00411BAA" w:rsidRDefault="004B007E" w:rsidP="004B007E">
      <w:pPr>
        <w:jc w:val="both"/>
        <w:rPr>
          <w:b/>
          <w:bCs/>
          <w:szCs w:val="22"/>
          <w:lang w:val="en-GB"/>
        </w:rPr>
      </w:pPr>
      <w:r w:rsidRPr="00411BAA">
        <w:rPr>
          <w:b/>
          <w:bCs/>
          <w:szCs w:val="22"/>
          <w:lang w:val="en-GB"/>
        </w:rPr>
        <w:t>Objective(s):</w:t>
      </w:r>
    </w:p>
    <w:p w14:paraId="4CE10C68" w14:textId="77777777" w:rsidR="004B007E" w:rsidRPr="00411BAA" w:rsidRDefault="004B007E" w:rsidP="004B007E">
      <w:pPr>
        <w:jc w:val="both"/>
        <w:rPr>
          <w:szCs w:val="22"/>
          <w:lang w:val="en-GB"/>
        </w:rPr>
      </w:pPr>
      <w:r w:rsidRPr="00411BAA">
        <w:rPr>
          <w:szCs w:val="22"/>
          <w:lang w:val="en-GB"/>
        </w:rPr>
        <w:t>The objective of the review is to assess the adequacy of the supply chain management systems and procedures used for health products procured through Global Fund grants to obtain assurance that supply chain management is undertaken efficiently and effectively.</w:t>
      </w:r>
    </w:p>
    <w:p w14:paraId="70A5D3C9" w14:textId="77777777" w:rsidR="004B007E" w:rsidRPr="00411BAA" w:rsidRDefault="004B007E" w:rsidP="004B007E">
      <w:pPr>
        <w:jc w:val="both"/>
        <w:rPr>
          <w:szCs w:val="22"/>
          <w:lang w:val="en-GB"/>
        </w:rPr>
      </w:pPr>
    </w:p>
    <w:p w14:paraId="24BAB657" w14:textId="77777777" w:rsidR="004B007E" w:rsidRPr="00411BAA" w:rsidRDefault="004B007E" w:rsidP="004B007E">
      <w:pPr>
        <w:pStyle w:val="NoSpacing"/>
        <w:spacing w:after="120"/>
        <w:jc w:val="both"/>
        <w:rPr>
          <w:b/>
        </w:rPr>
      </w:pPr>
      <w:r w:rsidRPr="00411BAA">
        <w:rPr>
          <w:b/>
        </w:rPr>
        <w:t>Scope of Review:</w:t>
      </w:r>
    </w:p>
    <w:p w14:paraId="29F1E5DF" w14:textId="77777777" w:rsidR="004B007E" w:rsidRDefault="004B007E" w:rsidP="004B007E">
      <w:pPr>
        <w:pStyle w:val="NoSpacing"/>
        <w:jc w:val="both"/>
        <w:rPr>
          <w:b/>
          <w:i/>
        </w:rPr>
      </w:pPr>
      <w:r w:rsidRPr="00411BAA">
        <w:rPr>
          <w:b/>
          <w:i/>
        </w:rPr>
        <w:t>[Please specify:]</w:t>
      </w:r>
    </w:p>
    <w:p w14:paraId="400C73AE" w14:textId="77777777" w:rsidR="004B007E" w:rsidRPr="00411BAA" w:rsidRDefault="004B007E" w:rsidP="004B007E">
      <w:pPr>
        <w:pStyle w:val="NoSpacing"/>
        <w:jc w:val="both"/>
        <w:rPr>
          <w:b/>
          <w:i/>
        </w:rPr>
      </w:pPr>
    </w:p>
    <w:p w14:paraId="38BEA19E" w14:textId="77777777" w:rsidR="004B007E" w:rsidRDefault="004B007E" w:rsidP="004B007E">
      <w:pPr>
        <w:pStyle w:val="NoSpacing"/>
        <w:numPr>
          <w:ilvl w:val="0"/>
          <w:numId w:val="2"/>
        </w:numPr>
        <w:ind w:left="714" w:hanging="357"/>
        <w:jc w:val="both"/>
      </w:pPr>
      <w:r w:rsidRPr="00411BAA">
        <w:t>Geographic area or sampling methodology (how many sites &amp; where; all patients or a sample; period of time being reviewed;</w:t>
      </w:r>
      <w:r>
        <w:t xml:space="preserve"> </w:t>
      </w:r>
      <w:proofErr w:type="spellStart"/>
      <w:r>
        <w:t>etc</w:t>
      </w:r>
      <w:proofErr w:type="spellEnd"/>
      <w:r w:rsidRPr="00411BAA">
        <w:t>)</w:t>
      </w:r>
    </w:p>
    <w:p w14:paraId="044B0836" w14:textId="77777777" w:rsidR="004B007E" w:rsidRPr="00411BAA" w:rsidRDefault="004B007E" w:rsidP="004B007E">
      <w:pPr>
        <w:pStyle w:val="NoSpacing"/>
        <w:numPr>
          <w:ilvl w:val="0"/>
          <w:numId w:val="2"/>
        </w:numPr>
        <w:ind w:left="714" w:hanging="357"/>
        <w:jc w:val="both"/>
      </w:pPr>
      <w:r w:rsidRPr="00411BAA">
        <w:t xml:space="preserve">What disease/grants are being covered and what specific aspects of the disease </w:t>
      </w:r>
      <w:proofErr w:type="spellStart"/>
      <w:r w:rsidRPr="00411BAA">
        <w:t>programme</w:t>
      </w:r>
      <w:proofErr w:type="spellEnd"/>
      <w:r w:rsidRPr="00411BAA">
        <w:t xml:space="preserve"> are being covered</w:t>
      </w:r>
    </w:p>
    <w:p w14:paraId="4D86C2FA" w14:textId="77777777" w:rsidR="004B007E" w:rsidRPr="00411BAA" w:rsidRDefault="004B007E" w:rsidP="004B007E">
      <w:pPr>
        <w:jc w:val="both"/>
        <w:rPr>
          <w:szCs w:val="22"/>
          <w:lang w:val="en-GB"/>
        </w:rPr>
      </w:pPr>
    </w:p>
    <w:p w14:paraId="45F2D5F9" w14:textId="77777777" w:rsidR="004B007E" w:rsidRPr="00411BAA" w:rsidRDefault="004B007E" w:rsidP="004B007E">
      <w:pPr>
        <w:pStyle w:val="NoSpacing"/>
        <w:jc w:val="both"/>
        <w:rPr>
          <w:b/>
        </w:rPr>
      </w:pPr>
      <w:r w:rsidRPr="00411BAA">
        <w:rPr>
          <w:b/>
        </w:rPr>
        <w:t>Tasks:</w:t>
      </w:r>
    </w:p>
    <w:p w14:paraId="1007938B" w14:textId="77777777" w:rsidR="004B007E" w:rsidRDefault="004B007E" w:rsidP="004B007E">
      <w:pPr>
        <w:pStyle w:val="NoSpacing"/>
        <w:rPr>
          <w:rFonts w:cs="Arial"/>
          <w:b/>
          <w:i/>
        </w:rPr>
      </w:pPr>
    </w:p>
    <w:p w14:paraId="0DB3E60F" w14:textId="77777777" w:rsidR="004B007E" w:rsidRPr="00DA4D58" w:rsidRDefault="004B007E" w:rsidP="004B007E">
      <w:pPr>
        <w:pStyle w:val="NoSpacing"/>
        <w:rPr>
          <w:rFonts w:cs="Arial"/>
          <w:b/>
          <w:i/>
        </w:rPr>
      </w:pPr>
      <w:r>
        <w:rPr>
          <w:rFonts w:cs="Arial"/>
          <w:b/>
          <w:i/>
        </w:rPr>
        <w:t>[</w:t>
      </w:r>
      <w:r w:rsidRPr="00DA4D58">
        <w:rPr>
          <w:rFonts w:cs="Arial"/>
          <w:b/>
          <w:i/>
        </w:rPr>
        <w:t>The list below represents a comprehensive</w:t>
      </w:r>
      <w:r>
        <w:rPr>
          <w:rFonts w:cs="Arial"/>
          <w:b/>
          <w:i/>
        </w:rPr>
        <w:t xml:space="preserve"> supply chain management review</w:t>
      </w:r>
      <w:r w:rsidRPr="00DA4D58">
        <w:rPr>
          <w:rFonts w:cs="Arial"/>
          <w:b/>
          <w:i/>
        </w:rPr>
        <w:t>.  The Global Fund Country Team and the LFA should agree on whether a full verification (i.e. all of the below questions) or a partial verification (i.e. focus on some specific areas only), is required.</w:t>
      </w:r>
      <w:r>
        <w:rPr>
          <w:rFonts w:cs="Arial"/>
          <w:b/>
          <w:i/>
        </w:rPr>
        <w:t>]</w:t>
      </w:r>
    </w:p>
    <w:p w14:paraId="498D8785" w14:textId="77777777" w:rsidR="004B007E" w:rsidRPr="00411BAA" w:rsidRDefault="004B007E" w:rsidP="004B007E">
      <w:pPr>
        <w:jc w:val="both"/>
        <w:rPr>
          <w:b/>
          <w:bCs/>
          <w:szCs w:val="22"/>
          <w:lang w:val="en-GB"/>
        </w:rPr>
      </w:pPr>
    </w:p>
    <w:p w14:paraId="5594CA63" w14:textId="77777777" w:rsidR="004B007E" w:rsidRPr="00411BAA" w:rsidRDefault="004B007E" w:rsidP="004B007E">
      <w:pPr>
        <w:jc w:val="both"/>
        <w:rPr>
          <w:b/>
          <w:bCs/>
          <w:szCs w:val="22"/>
          <w:u w:val="single"/>
          <w:lang w:val="en-GB"/>
        </w:rPr>
      </w:pPr>
      <w:r w:rsidRPr="00411BAA">
        <w:rPr>
          <w:b/>
          <w:bCs/>
          <w:szCs w:val="22"/>
          <w:u w:val="single"/>
          <w:lang w:val="en-GB"/>
        </w:rPr>
        <w:t>Supply management review</w:t>
      </w:r>
    </w:p>
    <w:p w14:paraId="48252656" w14:textId="77777777" w:rsidR="004B007E" w:rsidRDefault="004B007E" w:rsidP="004B007E">
      <w:pPr>
        <w:jc w:val="both"/>
        <w:rPr>
          <w:szCs w:val="22"/>
          <w:lang w:val="en-GB"/>
        </w:rPr>
      </w:pPr>
      <w:r w:rsidRPr="00411BAA">
        <w:rPr>
          <w:szCs w:val="22"/>
          <w:lang w:val="en-GB"/>
        </w:rPr>
        <w:t>The PSM expert should determine</w:t>
      </w:r>
      <w:r>
        <w:rPr>
          <w:szCs w:val="22"/>
          <w:lang w:val="en-GB"/>
        </w:rPr>
        <w:t xml:space="preserve"> </w:t>
      </w:r>
      <w:r w:rsidRPr="00411BAA">
        <w:rPr>
          <w:szCs w:val="22"/>
          <w:lang w:val="en-GB"/>
        </w:rPr>
        <w:t>if existing storage facilities and distribution channels are adequate and meet internationally recognized standards for good storage and distribution practices; specifically:</w:t>
      </w:r>
    </w:p>
    <w:p w14:paraId="543C7A12" w14:textId="77777777" w:rsidR="004B007E" w:rsidRPr="00411BAA" w:rsidRDefault="004B007E" w:rsidP="004B007E">
      <w:pPr>
        <w:jc w:val="both"/>
        <w:rPr>
          <w:szCs w:val="22"/>
          <w:lang w:val="en-GB"/>
        </w:rPr>
      </w:pPr>
    </w:p>
    <w:p w14:paraId="2F23F3A9" w14:textId="77777777" w:rsidR="004B007E" w:rsidRPr="00411BAA" w:rsidRDefault="004B007E" w:rsidP="004B007E">
      <w:pPr>
        <w:pStyle w:val="NoSpacing"/>
        <w:numPr>
          <w:ilvl w:val="0"/>
          <w:numId w:val="5"/>
        </w:numPr>
        <w:ind w:left="284" w:hanging="284"/>
        <w:jc w:val="both"/>
        <w:rPr>
          <w:u w:val="single"/>
        </w:rPr>
      </w:pPr>
      <w:r w:rsidRPr="00411BAA">
        <w:rPr>
          <w:u w:val="single"/>
        </w:rPr>
        <w:t>Storage:</w:t>
      </w:r>
    </w:p>
    <w:p w14:paraId="11475C2F" w14:textId="77777777" w:rsidR="004B007E" w:rsidRPr="00DC656F" w:rsidRDefault="004B007E" w:rsidP="004B007E">
      <w:pPr>
        <w:pStyle w:val="NoSpacing"/>
        <w:numPr>
          <w:ilvl w:val="0"/>
          <w:numId w:val="1"/>
        </w:numPr>
        <w:jc w:val="both"/>
      </w:pPr>
      <w:r w:rsidRPr="00DC656F">
        <w:t>If health products are received, stored, and managed in accordance with Good Storage Practices, i.e. in storage facilities that meet international standards and are  safe, secure and reliable (e.g. existence of adequate inventory management and storage facilities as well as temperature-control and monitoring systems to assure efficacy of drugs received by end users/final beneficiaries);</w:t>
      </w:r>
    </w:p>
    <w:p w14:paraId="71404A3B" w14:textId="77777777" w:rsidR="004B007E" w:rsidRPr="00DC656F" w:rsidRDefault="004B007E" w:rsidP="004B007E">
      <w:pPr>
        <w:spacing w:line="276" w:lineRule="auto"/>
        <w:ind w:left="360"/>
        <w:rPr>
          <w:szCs w:val="22"/>
          <w:lang w:val="en-US"/>
        </w:rPr>
      </w:pPr>
    </w:p>
    <w:p w14:paraId="4A6CBBBC" w14:textId="77777777" w:rsidR="004B007E" w:rsidRPr="00DC656F" w:rsidRDefault="004B007E" w:rsidP="004B007E">
      <w:pPr>
        <w:pStyle w:val="NoSpacing"/>
        <w:numPr>
          <w:ilvl w:val="0"/>
          <w:numId w:val="5"/>
        </w:numPr>
        <w:ind w:left="284" w:hanging="284"/>
        <w:jc w:val="both"/>
        <w:rPr>
          <w:u w:val="single"/>
        </w:rPr>
      </w:pPr>
      <w:r w:rsidRPr="00DC656F">
        <w:rPr>
          <w:u w:val="single"/>
        </w:rPr>
        <w:t>Distribution:</w:t>
      </w:r>
    </w:p>
    <w:p w14:paraId="486AF057" w14:textId="77777777" w:rsidR="004B007E" w:rsidRPr="00DC656F" w:rsidRDefault="004B007E" w:rsidP="004B007E">
      <w:pPr>
        <w:pStyle w:val="ListParagraph"/>
        <w:numPr>
          <w:ilvl w:val="0"/>
          <w:numId w:val="1"/>
        </w:numPr>
        <w:jc w:val="both"/>
        <w:rPr>
          <w:szCs w:val="22"/>
          <w:u w:val="single"/>
          <w:lang w:val="en-GB"/>
        </w:rPr>
      </w:pPr>
      <w:r w:rsidRPr="00DC656F">
        <w:rPr>
          <w:szCs w:val="22"/>
          <w:lang w:val="en-GB"/>
        </w:rPr>
        <w:t>If health products are distributed in accordance with Good Distribution Practices.</w:t>
      </w:r>
    </w:p>
    <w:p w14:paraId="499319AA" w14:textId="77777777" w:rsidR="004B007E" w:rsidRPr="00DC656F" w:rsidRDefault="004B007E" w:rsidP="004B007E">
      <w:pPr>
        <w:pStyle w:val="ListParagraph"/>
        <w:ind w:left="360"/>
        <w:jc w:val="both"/>
        <w:rPr>
          <w:szCs w:val="22"/>
          <w:u w:val="single"/>
          <w:lang w:val="en-GB"/>
        </w:rPr>
      </w:pPr>
      <w:r w:rsidRPr="00DC656F">
        <w:rPr>
          <w:szCs w:val="22"/>
          <w:u w:val="single"/>
          <w:lang w:val="en-GB"/>
        </w:rPr>
        <w:t xml:space="preserve"> </w:t>
      </w:r>
    </w:p>
    <w:p w14:paraId="2B4C635A" w14:textId="77777777" w:rsidR="004B007E" w:rsidRPr="00DC656F" w:rsidRDefault="004B007E" w:rsidP="004B007E">
      <w:pPr>
        <w:pStyle w:val="NoSpacing"/>
        <w:numPr>
          <w:ilvl w:val="0"/>
          <w:numId w:val="5"/>
        </w:numPr>
        <w:ind w:left="284" w:hanging="284"/>
        <w:jc w:val="both"/>
        <w:rPr>
          <w:u w:val="single"/>
        </w:rPr>
      </w:pPr>
      <w:r w:rsidRPr="00DC656F">
        <w:rPr>
          <w:u w:val="single"/>
        </w:rPr>
        <w:t>Management of the supply chain:</w:t>
      </w:r>
    </w:p>
    <w:p w14:paraId="2C8C504F" w14:textId="61B8B943" w:rsidR="004B007E" w:rsidRPr="00DC656F" w:rsidRDefault="004B007E" w:rsidP="004B007E">
      <w:pPr>
        <w:pStyle w:val="ListParagraph"/>
        <w:numPr>
          <w:ilvl w:val="0"/>
          <w:numId w:val="1"/>
        </w:numPr>
        <w:jc w:val="both"/>
        <w:rPr>
          <w:szCs w:val="22"/>
          <w:lang w:val="en-GB"/>
        </w:rPr>
      </w:pPr>
      <w:proofErr w:type="gramStart"/>
      <w:r w:rsidRPr="00DC656F">
        <w:rPr>
          <w:szCs w:val="22"/>
          <w:lang w:val="en-GB"/>
        </w:rPr>
        <w:t>if</w:t>
      </w:r>
      <w:proofErr w:type="gramEnd"/>
      <w:r w:rsidRPr="00DC656F">
        <w:rPr>
          <w:szCs w:val="22"/>
          <w:lang w:val="en-GB"/>
        </w:rPr>
        <w:t xml:space="preserve"> the </w:t>
      </w:r>
      <w:r w:rsidR="005E3A18" w:rsidRPr="00DC656F">
        <w:rPr>
          <w:szCs w:val="22"/>
          <w:lang w:val="en-GB"/>
        </w:rPr>
        <w:t>implementer</w:t>
      </w:r>
      <w:r w:rsidRPr="00DC656F">
        <w:rPr>
          <w:szCs w:val="22"/>
          <w:lang w:val="en-GB"/>
        </w:rPr>
        <w:t xml:space="preserve"> and/or PR has SOPs (Standard Operating Procedures) in place to support all PSM-related processes and if there is evidence to support that the SOPs are being implemented</w:t>
      </w:r>
      <w:r w:rsidR="005E3A18" w:rsidRPr="00DC656F">
        <w:rPr>
          <w:szCs w:val="22"/>
          <w:lang w:val="en-GB"/>
        </w:rPr>
        <w:t xml:space="preserve">. Such SOPs shall include but not </w:t>
      </w:r>
      <w:r w:rsidR="00DC656F" w:rsidRPr="00DC656F">
        <w:rPr>
          <w:szCs w:val="22"/>
          <w:lang w:val="en-GB"/>
        </w:rPr>
        <w:t xml:space="preserve">be </w:t>
      </w:r>
      <w:r w:rsidR="005E3A18" w:rsidRPr="00DC656F">
        <w:rPr>
          <w:szCs w:val="22"/>
          <w:lang w:val="en-GB"/>
        </w:rPr>
        <w:t>limited to documentation of procedures and controls for receiving of goods, stock placement and location, inventory control and records management, order processing, inventory counts, order release and dispatch, good house-keeping, equipment management, etc.</w:t>
      </w:r>
    </w:p>
    <w:p w14:paraId="1DF1ADA9" w14:textId="77777777" w:rsidR="004B007E" w:rsidRPr="00411BAA" w:rsidRDefault="004B007E" w:rsidP="004B007E">
      <w:pPr>
        <w:pStyle w:val="ListParagraph"/>
        <w:numPr>
          <w:ilvl w:val="0"/>
          <w:numId w:val="1"/>
        </w:numPr>
        <w:jc w:val="both"/>
        <w:rPr>
          <w:szCs w:val="22"/>
          <w:lang w:val="en-GB"/>
        </w:rPr>
      </w:pPr>
      <w:r w:rsidRPr="00411BAA">
        <w:rPr>
          <w:szCs w:val="22"/>
          <w:lang w:val="en-GB"/>
        </w:rPr>
        <w:t xml:space="preserve">whether a formal or informal coordination committee or group exists with agreed </w:t>
      </w:r>
      <w:proofErr w:type="spellStart"/>
      <w:r w:rsidRPr="00411BAA">
        <w:rPr>
          <w:szCs w:val="22"/>
          <w:lang w:val="en-GB"/>
        </w:rPr>
        <w:t>ToRs</w:t>
      </w:r>
      <w:proofErr w:type="spellEnd"/>
      <w:r w:rsidRPr="00411BAA">
        <w:rPr>
          <w:szCs w:val="22"/>
          <w:lang w:val="en-GB"/>
        </w:rPr>
        <w:t>, meets regularly, and is functional</w:t>
      </w:r>
    </w:p>
    <w:p w14:paraId="5B9FE065" w14:textId="77777777" w:rsidR="004B007E" w:rsidRDefault="004B007E" w:rsidP="004B007E">
      <w:pPr>
        <w:pStyle w:val="ListParagraph"/>
        <w:numPr>
          <w:ilvl w:val="0"/>
          <w:numId w:val="1"/>
        </w:numPr>
        <w:jc w:val="both"/>
        <w:rPr>
          <w:szCs w:val="22"/>
          <w:lang w:val="en-GB"/>
        </w:rPr>
      </w:pPr>
      <w:proofErr w:type="gramStart"/>
      <w:r w:rsidRPr="00411BAA">
        <w:rPr>
          <w:szCs w:val="22"/>
          <w:lang w:val="en-GB"/>
        </w:rPr>
        <w:t>if</w:t>
      </w:r>
      <w:proofErr w:type="gramEnd"/>
      <w:r w:rsidRPr="00411BAA">
        <w:rPr>
          <w:szCs w:val="22"/>
          <w:lang w:val="en-GB"/>
        </w:rPr>
        <w:t xml:space="preserve"> problems encountered in procurement and supply chain in the past, have been adequately addressed by grant managers and measures have been put in place to prevent their recurrence.</w:t>
      </w:r>
    </w:p>
    <w:p w14:paraId="583821A6" w14:textId="77777777" w:rsidR="009A6713" w:rsidRPr="00411BAA" w:rsidRDefault="009A6713" w:rsidP="009A6713">
      <w:pPr>
        <w:pStyle w:val="ListParagraph"/>
        <w:numPr>
          <w:ilvl w:val="0"/>
          <w:numId w:val="1"/>
        </w:numPr>
        <w:jc w:val="both"/>
        <w:rPr>
          <w:szCs w:val="22"/>
          <w:lang w:val="en-GB"/>
        </w:rPr>
      </w:pPr>
      <w:r w:rsidRPr="00411BAA">
        <w:rPr>
          <w:szCs w:val="22"/>
          <w:lang w:val="en-GB"/>
        </w:rPr>
        <w:t>if there are adequate systems and controls in place to minimize the risk of stock-outs of essential medicines and health supplies needed by the grant programs;</w:t>
      </w:r>
    </w:p>
    <w:p w14:paraId="7C6FBFE8" w14:textId="77777777" w:rsidR="009A6713" w:rsidRPr="00411BAA" w:rsidRDefault="009A6713" w:rsidP="009A6713">
      <w:pPr>
        <w:pStyle w:val="ListParagraph"/>
        <w:numPr>
          <w:ilvl w:val="0"/>
          <w:numId w:val="1"/>
        </w:numPr>
        <w:jc w:val="both"/>
        <w:rPr>
          <w:szCs w:val="22"/>
          <w:lang w:val="en-GB"/>
        </w:rPr>
      </w:pPr>
      <w:r w:rsidRPr="00411BAA">
        <w:rPr>
          <w:rFonts w:eastAsia="Calibri"/>
          <w:szCs w:val="22"/>
          <w:lang w:val="en-GB"/>
        </w:rPr>
        <w:lastRenderedPageBreak/>
        <w:t>i</w:t>
      </w:r>
      <w:proofErr w:type="spellStart"/>
      <w:r w:rsidRPr="00411BAA">
        <w:rPr>
          <w:rFonts w:eastAsia="Calibri"/>
          <w:szCs w:val="22"/>
          <w:lang w:val="en-US"/>
        </w:rPr>
        <w:t>f</w:t>
      </w:r>
      <w:proofErr w:type="spellEnd"/>
      <w:r w:rsidRPr="00411BAA">
        <w:rPr>
          <w:rFonts w:eastAsia="Calibri"/>
          <w:szCs w:val="22"/>
          <w:lang w:val="en-US"/>
        </w:rPr>
        <w:t xml:space="preserve"> there are adequate systems and controls in place to minimize the risk of having material quantities of expired drugs and over stocking; and where there are material quantities of expired drugs, estimate</w:t>
      </w:r>
      <w:r w:rsidRPr="00411BAA">
        <w:rPr>
          <w:szCs w:val="22"/>
          <w:lang w:val="en-US"/>
        </w:rPr>
        <w:t xml:space="preserve"> the loss and establish the causes for this anomaly</w:t>
      </w:r>
      <w:r w:rsidRPr="00411BAA">
        <w:rPr>
          <w:szCs w:val="22"/>
          <w:lang w:val="en-GB"/>
        </w:rPr>
        <w:t>;</w:t>
      </w:r>
    </w:p>
    <w:p w14:paraId="662228FB" w14:textId="77777777" w:rsidR="009A6713" w:rsidRPr="00411BAA" w:rsidRDefault="009A6713" w:rsidP="009A6713">
      <w:pPr>
        <w:spacing w:line="276" w:lineRule="auto"/>
        <w:ind w:left="360"/>
        <w:rPr>
          <w:szCs w:val="22"/>
          <w:lang w:val="en-US"/>
        </w:rPr>
      </w:pPr>
      <w:proofErr w:type="gramStart"/>
      <w:r w:rsidRPr="00411BAA">
        <w:rPr>
          <w:szCs w:val="22"/>
          <w:lang w:val="en-GB"/>
        </w:rPr>
        <w:t>b</w:t>
      </w:r>
      <w:proofErr w:type="spellStart"/>
      <w:r w:rsidRPr="00411BAA">
        <w:rPr>
          <w:szCs w:val="22"/>
          <w:lang w:val="en-US"/>
        </w:rPr>
        <w:t>ased</w:t>
      </w:r>
      <w:proofErr w:type="spellEnd"/>
      <w:proofErr w:type="gramEnd"/>
      <w:r w:rsidRPr="00411BAA">
        <w:rPr>
          <w:szCs w:val="22"/>
          <w:lang w:val="en-US"/>
        </w:rPr>
        <w:t xml:space="preserve"> on a sample, track health products and compare physical inventory to inventory records from receipt to lowest level of management . </w:t>
      </w:r>
      <w:r w:rsidRPr="00411BAA" w:rsidDel="004D7BBC">
        <w:rPr>
          <w:rStyle w:val="CommentReference"/>
          <w:szCs w:val="22"/>
          <w:lang w:val="en-GB"/>
        </w:rPr>
        <w:t xml:space="preserve"> </w:t>
      </w:r>
    </w:p>
    <w:p w14:paraId="1F705EC8" w14:textId="3CD33EEB" w:rsidR="004B007E" w:rsidRPr="00411BAA" w:rsidRDefault="009A6713" w:rsidP="004B007E">
      <w:pPr>
        <w:pStyle w:val="ListParagraph"/>
        <w:numPr>
          <w:ilvl w:val="0"/>
          <w:numId w:val="1"/>
        </w:numPr>
        <w:jc w:val="both"/>
        <w:rPr>
          <w:szCs w:val="22"/>
          <w:lang w:val="en-GB"/>
        </w:rPr>
      </w:pPr>
      <w:proofErr w:type="gramStart"/>
      <w:r>
        <w:rPr>
          <w:szCs w:val="22"/>
          <w:lang w:val="en-GB"/>
        </w:rPr>
        <w:t>if</w:t>
      </w:r>
      <w:proofErr w:type="gramEnd"/>
      <w:r>
        <w:rPr>
          <w:szCs w:val="22"/>
          <w:lang w:val="en-GB"/>
        </w:rPr>
        <w:t xml:space="preserve"> </w:t>
      </w:r>
      <w:r w:rsidR="004B007E" w:rsidRPr="00411BAA">
        <w:rPr>
          <w:szCs w:val="22"/>
          <w:lang w:val="en-GB"/>
        </w:rPr>
        <w:t>the functioning of the logistics and patient information systems is adequate.</w:t>
      </w:r>
    </w:p>
    <w:p w14:paraId="34F0DB33" w14:textId="26D357B7" w:rsidR="004B007E" w:rsidRPr="00411BAA" w:rsidRDefault="009A6713" w:rsidP="004B007E">
      <w:pPr>
        <w:pStyle w:val="ListParagraph"/>
        <w:numPr>
          <w:ilvl w:val="0"/>
          <w:numId w:val="1"/>
        </w:numPr>
        <w:jc w:val="both"/>
        <w:rPr>
          <w:szCs w:val="22"/>
          <w:lang w:val="en-GB"/>
        </w:rPr>
      </w:pPr>
      <w:r>
        <w:rPr>
          <w:szCs w:val="22"/>
          <w:lang w:val="en-GB"/>
        </w:rPr>
        <w:t xml:space="preserve">if </w:t>
      </w:r>
      <w:r w:rsidR="004B007E" w:rsidRPr="00411BAA">
        <w:rPr>
          <w:szCs w:val="22"/>
          <w:lang w:val="en-GB"/>
        </w:rPr>
        <w:t xml:space="preserve">the quantification/PSM committees have well defined </w:t>
      </w:r>
      <w:proofErr w:type="spellStart"/>
      <w:r w:rsidR="004B007E" w:rsidRPr="00411BAA">
        <w:rPr>
          <w:szCs w:val="22"/>
          <w:lang w:val="en-GB"/>
        </w:rPr>
        <w:t>ToRs</w:t>
      </w:r>
      <w:proofErr w:type="spellEnd"/>
      <w:r w:rsidR="004B007E" w:rsidRPr="00411BAA">
        <w:rPr>
          <w:szCs w:val="22"/>
          <w:lang w:val="en-GB"/>
        </w:rPr>
        <w:t>, meet on regular basis and minute</w:t>
      </w:r>
      <w:r>
        <w:rPr>
          <w:szCs w:val="22"/>
          <w:lang w:val="en-GB"/>
        </w:rPr>
        <w:t>s of the meetings are available</w:t>
      </w:r>
      <w:r w:rsidR="004B007E" w:rsidRPr="00411BAA">
        <w:rPr>
          <w:szCs w:val="22"/>
          <w:lang w:val="en-GB"/>
        </w:rPr>
        <w:t xml:space="preserve"> </w:t>
      </w:r>
    </w:p>
    <w:p w14:paraId="17160461" w14:textId="77777777" w:rsidR="004B007E" w:rsidRPr="00411BAA" w:rsidRDefault="004B007E" w:rsidP="004B007E">
      <w:pPr>
        <w:numPr>
          <w:ilvl w:val="0"/>
          <w:numId w:val="1"/>
        </w:numPr>
        <w:spacing w:line="276" w:lineRule="auto"/>
        <w:rPr>
          <w:szCs w:val="22"/>
          <w:lang w:val="en-US"/>
        </w:rPr>
      </w:pPr>
      <w:r w:rsidRPr="00411BAA">
        <w:rPr>
          <w:szCs w:val="22"/>
          <w:lang w:val="en-GB"/>
        </w:rPr>
        <w:t>Map the health products’ in-country supply chain (either per disease or per type of intervention)</w:t>
      </w:r>
      <w:r w:rsidRPr="00411BAA">
        <w:rPr>
          <w:i/>
          <w:szCs w:val="22"/>
          <w:lang w:val="en-GB"/>
        </w:rPr>
        <w:t>.</w:t>
      </w:r>
    </w:p>
    <w:p w14:paraId="42B2B057" w14:textId="77777777" w:rsidR="004B007E" w:rsidRPr="00411BAA" w:rsidRDefault="004B007E" w:rsidP="004B007E">
      <w:pPr>
        <w:spacing w:line="276" w:lineRule="auto"/>
        <w:rPr>
          <w:szCs w:val="22"/>
          <w:lang w:val="en-GB"/>
        </w:rPr>
      </w:pPr>
    </w:p>
    <w:p w14:paraId="5C23CECC" w14:textId="77777777" w:rsidR="004B007E" w:rsidRPr="00411BAA" w:rsidRDefault="004B007E" w:rsidP="004B007E">
      <w:pPr>
        <w:jc w:val="both"/>
        <w:rPr>
          <w:b/>
          <w:bCs/>
          <w:szCs w:val="22"/>
          <w:lang w:val="en-GB"/>
        </w:rPr>
      </w:pPr>
    </w:p>
    <w:p w14:paraId="64C1561A" w14:textId="77777777" w:rsidR="004B007E" w:rsidRPr="00411BAA" w:rsidRDefault="004B007E" w:rsidP="004B007E">
      <w:pPr>
        <w:pStyle w:val="NoSpacing"/>
        <w:rPr>
          <w:b/>
        </w:rPr>
      </w:pPr>
      <w:r w:rsidRPr="00411BAA">
        <w:rPr>
          <w:b/>
        </w:rPr>
        <w:t>Output/Deliverables and timing of deliverables:</w:t>
      </w:r>
    </w:p>
    <w:p w14:paraId="68111629" w14:textId="77777777" w:rsidR="004B007E" w:rsidRPr="00411BAA" w:rsidRDefault="004B007E" w:rsidP="004B007E">
      <w:pPr>
        <w:jc w:val="both"/>
        <w:rPr>
          <w:szCs w:val="22"/>
          <w:lang w:val="en-GB"/>
        </w:rPr>
      </w:pPr>
      <w:r w:rsidRPr="00411BAA">
        <w:rPr>
          <w:szCs w:val="22"/>
          <w:lang w:val="en-GB"/>
        </w:rPr>
        <w:t>The report should address each of the points listed under the scope of review/list of tasks above</w:t>
      </w:r>
      <w:r>
        <w:rPr>
          <w:szCs w:val="22"/>
          <w:lang w:val="en-GB"/>
        </w:rPr>
        <w:t xml:space="preserve">, </w:t>
      </w:r>
      <w:r w:rsidRPr="00E015B2">
        <w:rPr>
          <w:rFonts w:eastAsiaTheme="minorHAnsi" w:cs="Arial"/>
          <w:lang w:val="en-GB"/>
        </w:rPr>
        <w:t xml:space="preserve">as per the Global Fund request, and </w:t>
      </w:r>
      <w:r>
        <w:rPr>
          <w:rFonts w:eastAsiaTheme="minorHAnsi" w:cs="Arial"/>
          <w:lang w:val="en-GB"/>
        </w:rPr>
        <w:t xml:space="preserve">be </w:t>
      </w:r>
      <w:r w:rsidRPr="00E015B2">
        <w:rPr>
          <w:rFonts w:eastAsiaTheme="minorHAnsi" w:cs="Arial"/>
          <w:lang w:val="en-GB"/>
        </w:rPr>
        <w:t>supplemented with other relevant information. It should include without limitation:</w:t>
      </w:r>
    </w:p>
    <w:p w14:paraId="728C0041" w14:textId="77777777" w:rsidR="004B007E" w:rsidRPr="00411BAA" w:rsidRDefault="004B007E" w:rsidP="004B007E">
      <w:pPr>
        <w:numPr>
          <w:ilvl w:val="0"/>
          <w:numId w:val="4"/>
        </w:numPr>
        <w:jc w:val="both"/>
        <w:rPr>
          <w:szCs w:val="22"/>
          <w:lang w:val="en-GB"/>
        </w:rPr>
      </w:pPr>
      <w:r w:rsidRPr="00411BAA">
        <w:rPr>
          <w:szCs w:val="22"/>
          <w:lang w:val="en-GB"/>
        </w:rPr>
        <w:t>A detailed description and analysis of issues/risks identified.  The LFA should comment on the context and potential root causes of the issues identified, providing background information as necessary and prioritise the list of issues in an executive summary according to their significance.</w:t>
      </w:r>
    </w:p>
    <w:p w14:paraId="7FF2A3E3" w14:textId="77777777" w:rsidR="004B007E" w:rsidRPr="00411BAA" w:rsidRDefault="004B007E" w:rsidP="004B007E">
      <w:pPr>
        <w:numPr>
          <w:ilvl w:val="0"/>
          <w:numId w:val="4"/>
        </w:numPr>
        <w:jc w:val="both"/>
        <w:rPr>
          <w:szCs w:val="22"/>
          <w:lang w:val="en-GB"/>
        </w:rPr>
      </w:pPr>
      <w:r w:rsidRPr="00411BAA">
        <w:rPr>
          <w:szCs w:val="22"/>
          <w:lang w:val="en-GB"/>
        </w:rPr>
        <w:t>Recommendations for addressing issues identified.  Recommendations should be:</w:t>
      </w:r>
    </w:p>
    <w:p w14:paraId="1A86396C" w14:textId="77777777" w:rsidR="004B007E" w:rsidRPr="00411BAA" w:rsidRDefault="004B007E" w:rsidP="004B007E">
      <w:pPr>
        <w:numPr>
          <w:ilvl w:val="0"/>
          <w:numId w:val="3"/>
        </w:numPr>
        <w:jc w:val="both"/>
        <w:rPr>
          <w:szCs w:val="22"/>
          <w:lang w:val="en-GB"/>
        </w:rPr>
      </w:pPr>
      <w:r w:rsidRPr="00411BAA">
        <w:rPr>
          <w:szCs w:val="22"/>
          <w:lang w:val="en-GB"/>
        </w:rPr>
        <w:t>Detailed – with all the relevant information included</w:t>
      </w:r>
    </w:p>
    <w:p w14:paraId="2A55A4C0" w14:textId="77777777" w:rsidR="004B007E" w:rsidRPr="00411BAA" w:rsidRDefault="004B007E" w:rsidP="004B007E">
      <w:pPr>
        <w:numPr>
          <w:ilvl w:val="0"/>
          <w:numId w:val="3"/>
        </w:numPr>
        <w:jc w:val="both"/>
        <w:rPr>
          <w:szCs w:val="22"/>
          <w:lang w:val="en-GB"/>
        </w:rPr>
      </w:pPr>
      <w:r w:rsidRPr="00411BAA">
        <w:rPr>
          <w:szCs w:val="22"/>
          <w:lang w:val="en-GB"/>
        </w:rPr>
        <w:t>Specific and contextualised</w:t>
      </w:r>
    </w:p>
    <w:p w14:paraId="329E1C4A" w14:textId="77777777" w:rsidR="004B007E" w:rsidRDefault="004B007E" w:rsidP="004B007E">
      <w:pPr>
        <w:numPr>
          <w:ilvl w:val="0"/>
          <w:numId w:val="3"/>
        </w:numPr>
        <w:jc w:val="both"/>
        <w:rPr>
          <w:szCs w:val="22"/>
          <w:lang w:val="en-GB"/>
        </w:rPr>
      </w:pPr>
      <w:r w:rsidRPr="00411BAA">
        <w:rPr>
          <w:szCs w:val="22"/>
          <w:lang w:val="en-GB"/>
        </w:rPr>
        <w:t>Time-bound</w:t>
      </w:r>
    </w:p>
    <w:p w14:paraId="76B001BF" w14:textId="77777777" w:rsidR="004B007E" w:rsidRPr="00411BAA" w:rsidRDefault="004B007E" w:rsidP="004B007E">
      <w:pPr>
        <w:pStyle w:val="ListParagraph"/>
        <w:numPr>
          <w:ilvl w:val="0"/>
          <w:numId w:val="3"/>
        </w:numPr>
        <w:rPr>
          <w:rFonts w:cs="Arial"/>
          <w:lang w:val="en-GB"/>
        </w:rPr>
      </w:pPr>
      <w:r w:rsidRPr="00411BAA">
        <w:rPr>
          <w:rFonts w:cs="Arial"/>
          <w:lang w:val="en-GB"/>
        </w:rPr>
        <w:t>Prioritized based on the level of risk</w:t>
      </w:r>
    </w:p>
    <w:p w14:paraId="593FE56F" w14:textId="77777777" w:rsidR="004B007E" w:rsidRPr="00411BAA" w:rsidRDefault="004B007E" w:rsidP="004B007E">
      <w:pPr>
        <w:numPr>
          <w:ilvl w:val="0"/>
          <w:numId w:val="3"/>
        </w:numPr>
        <w:jc w:val="both"/>
        <w:rPr>
          <w:szCs w:val="22"/>
          <w:lang w:val="en-GB"/>
        </w:rPr>
      </w:pPr>
      <w:r w:rsidRPr="00411BAA">
        <w:rPr>
          <w:szCs w:val="22"/>
          <w:lang w:val="en-GB"/>
        </w:rPr>
        <w:t>Identifying the main entity responsible for implementation</w:t>
      </w:r>
    </w:p>
    <w:p w14:paraId="0351C6A5" w14:textId="77777777" w:rsidR="004B007E" w:rsidRPr="00411BAA" w:rsidRDefault="004B007E" w:rsidP="004B007E">
      <w:pPr>
        <w:jc w:val="both"/>
        <w:rPr>
          <w:szCs w:val="22"/>
          <w:lang w:val="en-GB"/>
        </w:rPr>
      </w:pPr>
    </w:p>
    <w:p w14:paraId="733E49F5" w14:textId="790E8376" w:rsidR="004B007E" w:rsidRPr="00411BAA" w:rsidRDefault="004B007E" w:rsidP="004B007E">
      <w:pPr>
        <w:jc w:val="both"/>
        <w:rPr>
          <w:szCs w:val="22"/>
          <w:lang w:val="en-GB"/>
        </w:rPr>
      </w:pPr>
      <w:r w:rsidRPr="00411BAA">
        <w:rPr>
          <w:szCs w:val="22"/>
          <w:lang w:val="en-GB"/>
        </w:rPr>
        <w:t>Should the review identify clear evidence of fraud, the LFA should ensure it uses the GF communication protocol to inform the GF Secretariat and</w:t>
      </w:r>
      <w:r w:rsidR="00DC656F">
        <w:rPr>
          <w:szCs w:val="22"/>
          <w:lang w:val="en-GB"/>
        </w:rPr>
        <w:t>/or</w:t>
      </w:r>
      <w:r w:rsidRPr="00411BAA">
        <w:rPr>
          <w:szCs w:val="22"/>
          <w:lang w:val="en-GB"/>
        </w:rPr>
        <w:t xml:space="preserve"> the OIG to allow consideration of evidence collection and other issues relevant to a possible criminal investigation.</w:t>
      </w:r>
    </w:p>
    <w:p w14:paraId="37A827AE" w14:textId="77777777" w:rsidR="004B007E" w:rsidRPr="00411BAA" w:rsidRDefault="004B007E" w:rsidP="004B007E">
      <w:pPr>
        <w:jc w:val="both"/>
        <w:rPr>
          <w:b/>
          <w:bCs/>
          <w:szCs w:val="22"/>
          <w:lang w:val="en-GB"/>
        </w:rPr>
      </w:pPr>
    </w:p>
    <w:p w14:paraId="4907095D" w14:textId="77777777" w:rsidR="004B007E" w:rsidRPr="00411BAA" w:rsidRDefault="004B007E" w:rsidP="004B007E">
      <w:pPr>
        <w:jc w:val="both"/>
        <w:rPr>
          <w:b/>
          <w:bCs/>
          <w:szCs w:val="22"/>
          <w:lang w:val="en-GB"/>
        </w:rPr>
      </w:pPr>
      <w:r w:rsidRPr="00411BAA">
        <w:rPr>
          <w:b/>
          <w:bCs/>
          <w:szCs w:val="22"/>
          <w:lang w:val="en-GB"/>
        </w:rPr>
        <w:t>Required background reading</w:t>
      </w:r>
    </w:p>
    <w:p w14:paraId="2DFF15BE" w14:textId="77777777" w:rsidR="004B007E" w:rsidRDefault="004B007E" w:rsidP="004B007E">
      <w:pPr>
        <w:pStyle w:val="NoSpacing"/>
        <w:spacing w:after="120"/>
        <w:jc w:val="both"/>
        <w:rPr>
          <w:b/>
          <w:i/>
        </w:rPr>
      </w:pPr>
      <w:r w:rsidRPr="00411BAA">
        <w:rPr>
          <w:b/>
          <w:i/>
        </w:rPr>
        <w:t xml:space="preserve">[Please indicate:] </w:t>
      </w:r>
    </w:p>
    <w:p w14:paraId="2DF1F583" w14:textId="77777777" w:rsidR="004B007E" w:rsidRPr="00411BAA" w:rsidRDefault="004B007E" w:rsidP="004B007E">
      <w:pPr>
        <w:pStyle w:val="NoSpacing"/>
        <w:spacing w:after="120"/>
        <w:jc w:val="both"/>
        <w:rPr>
          <w:bCs/>
        </w:rPr>
      </w:pPr>
      <w:r w:rsidRPr="00411BAA">
        <w:rPr>
          <w:bCs/>
        </w:rPr>
        <w:t>E.g. consider outstanding or due Conditions and/or Management Actions</w:t>
      </w:r>
    </w:p>
    <w:p w14:paraId="3664741D" w14:textId="77777777" w:rsidR="004B007E" w:rsidRPr="00411BAA" w:rsidRDefault="004B007E" w:rsidP="004B007E">
      <w:pPr>
        <w:jc w:val="both"/>
        <w:rPr>
          <w:b/>
          <w:bCs/>
          <w:szCs w:val="22"/>
          <w:lang w:val="en-GB"/>
        </w:rPr>
      </w:pPr>
    </w:p>
    <w:p w14:paraId="46C747FD" w14:textId="77777777" w:rsidR="004B007E" w:rsidRPr="00411BAA" w:rsidRDefault="004B007E" w:rsidP="004B007E">
      <w:pPr>
        <w:jc w:val="both"/>
        <w:rPr>
          <w:b/>
          <w:bCs/>
          <w:szCs w:val="22"/>
          <w:lang w:val="en-GB"/>
        </w:rPr>
      </w:pPr>
      <w:r w:rsidRPr="00411BAA">
        <w:rPr>
          <w:b/>
          <w:bCs/>
          <w:szCs w:val="22"/>
          <w:lang w:val="en-GB"/>
        </w:rPr>
        <w:t>Service Delivery</w:t>
      </w:r>
    </w:p>
    <w:p w14:paraId="66218B60" w14:textId="77777777" w:rsidR="004B007E" w:rsidRPr="00DA4D58" w:rsidRDefault="004B007E" w:rsidP="004B007E">
      <w:pPr>
        <w:pStyle w:val="NoSpacing"/>
        <w:rPr>
          <w:rFonts w:cs="Arial"/>
        </w:rPr>
      </w:pPr>
      <w:r w:rsidRPr="00DA4D58">
        <w:rPr>
          <w:rFonts w:cs="Arial"/>
        </w:rPr>
        <w:t xml:space="preserve">This task should be undertaken by the LFA PSM Expert who is accountable for the technical content of this report. S/he can be supported, as needed, by other LFA team members in the planning and during the verification.  The </w:t>
      </w:r>
      <w:proofErr w:type="spellStart"/>
      <w:r w:rsidRPr="00DA4D58">
        <w:rPr>
          <w:rFonts w:cs="Arial"/>
        </w:rPr>
        <w:t>LoE</w:t>
      </w:r>
      <w:proofErr w:type="spellEnd"/>
      <w:r w:rsidRPr="00DA4D58">
        <w:rPr>
          <w:rFonts w:cs="Arial"/>
        </w:rPr>
        <w:t xml:space="preserve"> for this task, including report writing, depends on which elements of the </w:t>
      </w:r>
      <w:proofErr w:type="spellStart"/>
      <w:r w:rsidRPr="00DA4D58">
        <w:rPr>
          <w:rFonts w:cs="Arial"/>
        </w:rPr>
        <w:t>ToR</w:t>
      </w:r>
      <w:proofErr w:type="spellEnd"/>
      <w:r w:rsidRPr="00DA4D58">
        <w:rPr>
          <w:rFonts w:cs="Arial"/>
        </w:rPr>
        <w:t xml:space="preserve"> and the number and location of service delivery sites are included in the review, as agreed between the Global Fund Country Team and the LFA. </w:t>
      </w:r>
    </w:p>
    <w:p w14:paraId="2FECD33E" w14:textId="77777777" w:rsidR="00FA58D7" w:rsidRPr="004B007E" w:rsidRDefault="00FA58D7" w:rsidP="004B007E">
      <w:pPr>
        <w:pStyle w:val="Heading1"/>
        <w:rPr>
          <w:lang w:val="en-US"/>
        </w:rPr>
      </w:pPr>
    </w:p>
    <w:sectPr w:rsidR="00FA58D7" w:rsidRPr="004B007E" w:rsidSect="00711013">
      <w:type w:val="continuous"/>
      <w:pgSz w:w="11906" w:h="16838" w:code="9"/>
      <w:pgMar w:top="1474" w:right="1474" w:bottom="1474" w:left="1474" w:header="102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7A07" w14:textId="77777777" w:rsidR="004B007E" w:rsidRDefault="004B007E" w:rsidP="00274ED0">
      <w:r>
        <w:separator/>
      </w:r>
    </w:p>
  </w:endnote>
  <w:endnote w:type="continuationSeparator" w:id="0">
    <w:p w14:paraId="5377E9D4" w14:textId="77777777" w:rsidR="004B007E" w:rsidRDefault="004B007E"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9909" w14:textId="77777777" w:rsidR="008B160B" w:rsidRDefault="008B1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ABC8" w14:textId="77777777" w:rsidR="00F63D86" w:rsidRPr="00E37B2C" w:rsidRDefault="002B1E39" w:rsidP="00711013">
    <w:pPr>
      <w:pStyle w:val="Footer"/>
      <w:ind w:right="-1390"/>
    </w:pPr>
    <w:r>
      <w:rPr>
        <w:lang w:val="en-GB"/>
      </w:rPr>
      <w:drawing>
        <wp:inline distT="0" distB="0" distL="0" distR="0" wp14:anchorId="7C0116C2" wp14:editId="50D30849">
          <wp:extent cx="6768000" cy="183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18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A70B" w14:textId="62FF4E25" w:rsidR="00F63D86" w:rsidRPr="004B007E" w:rsidRDefault="003828CD" w:rsidP="00711013">
    <w:pPr>
      <w:pStyle w:val="Footer"/>
      <w:ind w:right="-1390"/>
      <w:rPr>
        <w:lang w:val="en-GB"/>
      </w:rPr>
    </w:pPr>
    <w:r>
      <w:rPr>
        <w:lang w:val="en-GB"/>
      </w:rPr>
      <w:t>May 2017</w:t>
    </w:r>
    <w:r w:rsidR="004B007E" w:rsidRPr="004B007E">
      <w:rPr>
        <w:lang w:val="en-GB"/>
      </w:rPr>
      <w:ptab w:relativeTo="margin" w:alignment="center" w:leader="none"/>
    </w:r>
    <w:r w:rsidR="004B007E" w:rsidRPr="004B007E">
      <w:rPr>
        <w:lang w:val="en-G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BD9F" w14:textId="77777777" w:rsidR="004B007E" w:rsidRDefault="004B007E" w:rsidP="00274ED0">
      <w:r>
        <w:separator/>
      </w:r>
    </w:p>
  </w:footnote>
  <w:footnote w:type="continuationSeparator" w:id="0">
    <w:p w14:paraId="1DE2F6E8" w14:textId="77777777" w:rsidR="004B007E" w:rsidRDefault="004B007E"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D383" w14:textId="77777777" w:rsidR="008B160B" w:rsidRDefault="008B1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CB8E" w14:textId="77777777" w:rsidR="00F63D86" w:rsidRPr="00E37B2C" w:rsidRDefault="00A81E0C" w:rsidP="002B1E39">
    <w:pPr>
      <w:pStyle w:val="Header"/>
    </w:pPr>
    <w:r w:rsidRPr="00E37B2C">
      <w:fldChar w:fldCharType="begin"/>
    </w:r>
    <w:r w:rsidR="00F63D86" w:rsidRPr="00E37B2C">
      <w:instrText xml:space="preserve"> PAGE   \* MERGEFORMAT </w:instrText>
    </w:r>
    <w:r w:rsidRPr="00E37B2C">
      <w:fldChar w:fldCharType="separate"/>
    </w:r>
    <w:r w:rsidR="008B160B">
      <w:t>2</w:t>
    </w:r>
    <w:r w:rsidRPr="00E37B2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FF2F" w14:textId="77777777" w:rsidR="00F63D86" w:rsidRPr="002B1E39" w:rsidRDefault="002B1E39" w:rsidP="00711013">
    <w:pPr>
      <w:pStyle w:val="Header"/>
      <w:ind w:right="-1390"/>
    </w:pPr>
    <w:r w:rsidRPr="002B1E39">
      <w:rPr>
        <w:lang w:val="en-GB"/>
      </w:rPr>
      <w:drawing>
        <wp:inline distT="0" distB="0" distL="0" distR="0" wp14:anchorId="4AF1C371" wp14:editId="37E3A79C">
          <wp:extent cx="6768000" cy="52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Doc_E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52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B3AB5"/>
    <w:multiLevelType w:val="hybridMultilevel"/>
    <w:tmpl w:val="DED6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D6780"/>
    <w:multiLevelType w:val="hybridMultilevel"/>
    <w:tmpl w:val="12AA7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B0DBD"/>
    <w:multiLevelType w:val="hybridMultilevel"/>
    <w:tmpl w:val="85F0C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964600"/>
    <w:multiLevelType w:val="hybridMultilevel"/>
    <w:tmpl w:val="43FC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345293"/>
    <w:multiLevelType w:val="hybridMultilevel"/>
    <w:tmpl w:val="285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E"/>
    <w:rsid w:val="00041DE8"/>
    <w:rsid w:val="00045F9A"/>
    <w:rsid w:val="00111EEA"/>
    <w:rsid w:val="001B5A8A"/>
    <w:rsid w:val="00274ED0"/>
    <w:rsid w:val="002B1E39"/>
    <w:rsid w:val="002D723E"/>
    <w:rsid w:val="002F4BF8"/>
    <w:rsid w:val="003012A5"/>
    <w:rsid w:val="00307CE2"/>
    <w:rsid w:val="003828CD"/>
    <w:rsid w:val="00417D48"/>
    <w:rsid w:val="0047764F"/>
    <w:rsid w:val="004817E1"/>
    <w:rsid w:val="004923DB"/>
    <w:rsid w:val="004939DD"/>
    <w:rsid w:val="004B007E"/>
    <w:rsid w:val="005C60A1"/>
    <w:rsid w:val="005E3A18"/>
    <w:rsid w:val="006A32E0"/>
    <w:rsid w:val="006C1BD9"/>
    <w:rsid w:val="0070563E"/>
    <w:rsid w:val="00711013"/>
    <w:rsid w:val="007406F3"/>
    <w:rsid w:val="007C5344"/>
    <w:rsid w:val="00821843"/>
    <w:rsid w:val="00880456"/>
    <w:rsid w:val="008B160B"/>
    <w:rsid w:val="008E5794"/>
    <w:rsid w:val="00902DDD"/>
    <w:rsid w:val="00917D65"/>
    <w:rsid w:val="009535AE"/>
    <w:rsid w:val="009A6713"/>
    <w:rsid w:val="009C5AA6"/>
    <w:rsid w:val="009C722A"/>
    <w:rsid w:val="00A51971"/>
    <w:rsid w:val="00A81E0C"/>
    <w:rsid w:val="00AB6AF7"/>
    <w:rsid w:val="00BB39A9"/>
    <w:rsid w:val="00BC47D9"/>
    <w:rsid w:val="00C0100F"/>
    <w:rsid w:val="00C258AF"/>
    <w:rsid w:val="00C50190"/>
    <w:rsid w:val="00C63708"/>
    <w:rsid w:val="00C7736F"/>
    <w:rsid w:val="00D137D2"/>
    <w:rsid w:val="00D5226C"/>
    <w:rsid w:val="00DC656F"/>
    <w:rsid w:val="00E134C5"/>
    <w:rsid w:val="00E37B2C"/>
    <w:rsid w:val="00E76000"/>
    <w:rsid w:val="00F21E03"/>
    <w:rsid w:val="00F63D86"/>
    <w:rsid w:val="00F809F9"/>
    <w:rsid w:val="00F949B7"/>
    <w:rsid w:val="00FA58D7"/>
    <w:rsid w:val="00FB4BDA"/>
    <w:rsid w:val="00FD19FA"/>
    <w:rsid w:val="00FF6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09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7E"/>
    <w:pPr>
      <w:spacing w:after="0" w:line="240" w:lineRule="auto"/>
    </w:pPr>
    <w:rPr>
      <w:rFonts w:ascii="Georgia" w:eastAsia="Times New Roman" w:hAnsi="Georgia" w:cs="Times New Roman"/>
      <w:szCs w:val="24"/>
      <w:lang w:val="fr-FR" w:eastAsia="fr-FR"/>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pPr>
    <w:rPr>
      <w:b/>
      <w:noProof/>
      <w:sz w:val="28"/>
    </w:rPr>
  </w:style>
  <w:style w:type="paragraph" w:styleId="TOC2">
    <w:name w:val="toc 2"/>
    <w:basedOn w:val="Normal"/>
    <w:next w:val="Normal"/>
    <w:autoRedefine/>
    <w:uiPriority w:val="39"/>
    <w:unhideWhenUsed/>
    <w:rsid w:val="00041DE8"/>
    <w:pPr>
      <w:tabs>
        <w:tab w:val="right" w:leader="dot" w:pos="8948"/>
      </w:tabs>
      <w:ind w:left="221"/>
    </w:pPr>
    <w:rPr>
      <w:noProof/>
      <w:sz w:val="28"/>
    </w:rPr>
  </w:style>
  <w:style w:type="paragraph" w:styleId="TOC3">
    <w:name w:val="toc 3"/>
    <w:basedOn w:val="Normal"/>
    <w:next w:val="Normal"/>
    <w:autoRedefine/>
    <w:uiPriority w:val="39"/>
    <w:unhideWhenUsed/>
    <w:rsid w:val="00041DE8"/>
    <w:pPr>
      <w:tabs>
        <w:tab w:val="right" w:leader="dot" w:pos="8948"/>
      </w:tabs>
      <w:ind w:left="442"/>
    </w:pPr>
    <w:rPr>
      <w:noProof/>
      <w:sz w:val="24"/>
    </w:rPr>
  </w:style>
  <w:style w:type="paragraph" w:styleId="TOC4">
    <w:name w:val="toc 4"/>
    <w:basedOn w:val="Normal"/>
    <w:next w:val="Normal"/>
    <w:autoRedefine/>
    <w:uiPriority w:val="39"/>
    <w:unhideWhenUsed/>
    <w:rsid w:val="00041DE8"/>
    <w:pPr>
      <w:tabs>
        <w:tab w:val="right" w:leader="dot" w:pos="8948"/>
      </w:tabs>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ListParagraph">
    <w:name w:val="List Paragraph"/>
    <w:basedOn w:val="Normal"/>
    <w:link w:val="ListParagraphChar"/>
    <w:uiPriority w:val="34"/>
    <w:qFormat/>
    <w:rsid w:val="004B007E"/>
    <w:pPr>
      <w:ind w:left="720"/>
      <w:contextualSpacing/>
    </w:pPr>
  </w:style>
  <w:style w:type="character" w:styleId="CommentReference">
    <w:name w:val="annotation reference"/>
    <w:basedOn w:val="DefaultParagraphFont"/>
    <w:uiPriority w:val="99"/>
    <w:semiHidden/>
    <w:unhideWhenUsed/>
    <w:rsid w:val="004B007E"/>
    <w:rPr>
      <w:sz w:val="16"/>
      <w:szCs w:val="16"/>
    </w:rPr>
  </w:style>
  <w:style w:type="character" w:customStyle="1" w:styleId="ListParagraphChar">
    <w:name w:val="List Paragraph Char"/>
    <w:basedOn w:val="DefaultParagraphFont"/>
    <w:link w:val="ListParagraph"/>
    <w:uiPriority w:val="34"/>
    <w:rsid w:val="004B007E"/>
    <w:rPr>
      <w:rFonts w:ascii="Georgia" w:eastAsia="Times New Roman" w:hAnsi="Georgia" w:cs="Times New Roman"/>
      <w:szCs w:val="24"/>
      <w:lang w:val="fr-FR" w:eastAsia="fr-FR"/>
    </w:rPr>
  </w:style>
  <w:style w:type="paragraph" w:styleId="CommentText">
    <w:name w:val="annotation text"/>
    <w:basedOn w:val="Normal"/>
    <w:link w:val="CommentTextChar"/>
    <w:uiPriority w:val="99"/>
    <w:semiHidden/>
    <w:unhideWhenUsed/>
    <w:rsid w:val="005C60A1"/>
    <w:rPr>
      <w:sz w:val="20"/>
      <w:szCs w:val="20"/>
    </w:rPr>
  </w:style>
  <w:style w:type="character" w:customStyle="1" w:styleId="CommentTextChar">
    <w:name w:val="Comment Text Char"/>
    <w:basedOn w:val="DefaultParagraphFont"/>
    <w:link w:val="CommentText"/>
    <w:uiPriority w:val="99"/>
    <w:semiHidden/>
    <w:rsid w:val="005C60A1"/>
    <w:rPr>
      <w:rFonts w:ascii="Georgia" w:eastAsia="Times New Roman" w:hAnsi="Georgia"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5C60A1"/>
    <w:rPr>
      <w:b/>
      <w:bCs/>
    </w:rPr>
  </w:style>
  <w:style w:type="character" w:customStyle="1" w:styleId="CommentSubjectChar">
    <w:name w:val="Comment Subject Char"/>
    <w:basedOn w:val="CommentTextChar"/>
    <w:link w:val="CommentSubject"/>
    <w:uiPriority w:val="99"/>
    <w:semiHidden/>
    <w:rsid w:val="005C60A1"/>
    <w:rPr>
      <w:rFonts w:ascii="Georgia" w:eastAsia="Times New Roman" w:hAnsi="Georgia"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2017-11-16T10:31:00Z</dcterms:created>
  <dcterms:modified xsi:type="dcterms:W3CDTF">2017-11-16T10:31:00Z</dcterms:modified>
</cp:coreProperties>
</file>