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DC0DD" w14:textId="77777777" w:rsidR="0040297E" w:rsidRPr="0040297E" w:rsidRDefault="0040297E" w:rsidP="0040297E">
      <w:pPr>
        <w:rPr>
          <w:rFonts w:ascii="Arial" w:eastAsia="Times New Roman" w:hAnsi="Arial" w:cs="Arial"/>
          <w:i/>
          <w:iCs/>
          <w:lang w:val="fr"/>
        </w:rPr>
      </w:pPr>
      <w:bookmarkStart w:id="0" w:name="_Hlk15982172"/>
      <w:r w:rsidRPr="0040297E">
        <w:rPr>
          <w:rFonts w:ascii="Arial" w:eastAsia="Times New Roman" w:hAnsi="Arial" w:cs="Arial"/>
          <w:i/>
          <w:iCs/>
          <w:lang w:val="fr"/>
        </w:rPr>
        <w:t>Ce modèle de lettre est destiné aux pays qui souhaitent exprimer leurs engagements de cofinancement au Fonds mondial. Les pays doivent adapter cette lettre en fonction de leur contexte national. Toutefois, le Fonds mondial a besoin des informations mentionnées aux sections 1.1 et 1.2. De plus, les pays doivent être en mesure de fournir au Fonds mondial des documents vérifiables et fiables et des éléments probants sur les dépenses des fonds nationaux ou, lorsque les chiffres relatifs aux dépenses ne sont pas encore disponibles, les derniers montants budgétisés.</w:t>
      </w:r>
    </w:p>
    <w:p w14:paraId="71E2D04B" w14:textId="77777777" w:rsidR="0040297E" w:rsidRPr="0040297E" w:rsidRDefault="0040297E" w:rsidP="0019703C">
      <w:pPr>
        <w:rPr>
          <w:rFonts w:ascii="Arial" w:eastAsia="Times New Roman" w:hAnsi="Arial" w:cs="Arial"/>
          <w:b/>
          <w:bCs/>
          <w:lang w:val="fr-CH"/>
        </w:rPr>
      </w:pPr>
    </w:p>
    <w:p w14:paraId="140C4566" w14:textId="7B5E7606" w:rsidR="00333D33" w:rsidRPr="00555AD3" w:rsidRDefault="00657239" w:rsidP="0019703C">
      <w:pPr>
        <w:rPr>
          <w:rFonts w:ascii="Arial" w:eastAsia="Times New Roman" w:hAnsi="Arial" w:cs="Arial"/>
          <w:b/>
          <w:lang w:val="fr-CH"/>
        </w:rPr>
      </w:pPr>
      <w:r>
        <w:rPr>
          <w:rFonts w:ascii="Arial" w:eastAsia="Times New Roman" w:hAnsi="Arial" w:cs="Arial"/>
          <w:b/>
          <w:bCs/>
          <w:lang w:val="fr"/>
        </w:rPr>
        <w:t>Document type : Engagement des gouvernements relatif au cofinancement des ripostes nationales soutenues par le Fonds mondial</w:t>
      </w:r>
    </w:p>
    <w:p w14:paraId="140C4567" w14:textId="77777777" w:rsidR="009308B2" w:rsidRPr="00555AD3" w:rsidRDefault="009308B2" w:rsidP="00A371C5">
      <w:pPr>
        <w:rPr>
          <w:rFonts w:ascii="Arial" w:eastAsia="Times New Roman" w:hAnsi="Arial" w:cs="Arial"/>
          <w:lang w:val="fr-CH"/>
        </w:rPr>
      </w:pPr>
    </w:p>
    <w:p w14:paraId="140C4568" w14:textId="77777777" w:rsidR="00D66E03" w:rsidRPr="00555AD3" w:rsidRDefault="00D66E03" w:rsidP="00D66E03">
      <w:pPr>
        <w:rPr>
          <w:rFonts w:ascii="Arial" w:eastAsia="Times New Roman" w:hAnsi="Arial" w:cs="Arial"/>
          <w:lang w:val="fr-CH"/>
        </w:rPr>
      </w:pPr>
      <w:r>
        <w:rPr>
          <w:rFonts w:ascii="Arial" w:eastAsia="Times New Roman" w:hAnsi="Arial" w:cs="Arial"/>
          <w:lang w:val="fr"/>
        </w:rPr>
        <w:t>Le Fonds mondial de lutte contre le sida, la tuberculose et le paludisme</w:t>
      </w:r>
    </w:p>
    <w:p w14:paraId="140C4569" w14:textId="77777777" w:rsidR="00D66E03" w:rsidRPr="00555AD3" w:rsidRDefault="00D66E03" w:rsidP="00D66E03">
      <w:pPr>
        <w:rPr>
          <w:rFonts w:ascii="Arial" w:eastAsia="Times New Roman" w:hAnsi="Arial" w:cs="Arial"/>
          <w:lang w:val="fr-CH"/>
        </w:rPr>
      </w:pPr>
      <w:r>
        <w:rPr>
          <w:rFonts w:ascii="Arial" w:eastAsia="Times New Roman" w:hAnsi="Arial" w:cs="Arial"/>
          <w:lang w:val="fr"/>
        </w:rPr>
        <w:t>Campus de la santé mondiale</w:t>
      </w:r>
    </w:p>
    <w:p w14:paraId="140C456A" w14:textId="77777777" w:rsidR="00D66E03" w:rsidRPr="00555AD3" w:rsidRDefault="00D66E03" w:rsidP="00D66E03">
      <w:pPr>
        <w:rPr>
          <w:rFonts w:ascii="Arial" w:eastAsia="Times New Roman" w:hAnsi="Arial" w:cs="Arial"/>
          <w:lang w:val="fr-CH"/>
        </w:rPr>
      </w:pPr>
      <w:r>
        <w:rPr>
          <w:rFonts w:ascii="Arial" w:eastAsia="Times New Roman" w:hAnsi="Arial" w:cs="Arial"/>
          <w:lang w:val="fr"/>
        </w:rPr>
        <w:t>Chemin du Pommier 40</w:t>
      </w:r>
    </w:p>
    <w:p w14:paraId="140C456B" w14:textId="77777777" w:rsidR="00D66E03" w:rsidRPr="00555AD3" w:rsidRDefault="00D66E03" w:rsidP="00D66E03">
      <w:pPr>
        <w:rPr>
          <w:rFonts w:ascii="Arial" w:eastAsia="Times New Roman" w:hAnsi="Arial" w:cs="Arial"/>
          <w:lang w:val="fr-CH"/>
        </w:rPr>
      </w:pPr>
      <w:r>
        <w:rPr>
          <w:rFonts w:ascii="Arial" w:eastAsia="Times New Roman" w:hAnsi="Arial" w:cs="Arial"/>
          <w:lang w:val="fr"/>
        </w:rPr>
        <w:t>1218 Le Grand-Saconnex</w:t>
      </w:r>
    </w:p>
    <w:p w14:paraId="140C456C" w14:textId="77777777" w:rsidR="009308B2" w:rsidRPr="00555AD3" w:rsidRDefault="00D66E03" w:rsidP="00D66E03">
      <w:pPr>
        <w:rPr>
          <w:rFonts w:ascii="Arial" w:eastAsia="Times New Roman" w:hAnsi="Arial" w:cs="Arial"/>
          <w:lang w:val="fr-CH"/>
        </w:rPr>
      </w:pPr>
      <w:r>
        <w:rPr>
          <w:rFonts w:ascii="Arial" w:eastAsia="Times New Roman" w:hAnsi="Arial" w:cs="Arial"/>
          <w:lang w:val="fr"/>
        </w:rPr>
        <w:t>Genève, Suisse</w:t>
      </w:r>
    </w:p>
    <w:p w14:paraId="140C456D" w14:textId="77777777" w:rsidR="00D66E03" w:rsidRPr="00555AD3" w:rsidRDefault="00D66E03" w:rsidP="00D66E03">
      <w:pPr>
        <w:rPr>
          <w:rFonts w:ascii="Arial" w:eastAsia="Times New Roman" w:hAnsi="Arial" w:cs="Arial"/>
          <w:lang w:val="fr-CH"/>
        </w:rPr>
      </w:pPr>
    </w:p>
    <w:p w14:paraId="140C456E" w14:textId="77777777" w:rsidR="009308B2" w:rsidRPr="00555AD3" w:rsidRDefault="009308B2" w:rsidP="00A371C5">
      <w:pPr>
        <w:rPr>
          <w:rFonts w:ascii="Arial" w:eastAsia="Times New Roman" w:hAnsi="Arial" w:cs="Arial"/>
          <w:lang w:val="fr-CH"/>
        </w:rPr>
      </w:pPr>
      <w:r>
        <w:rPr>
          <w:rFonts w:ascii="Arial" w:eastAsia="Times New Roman" w:hAnsi="Arial" w:cs="Arial"/>
          <w:highlight w:val="yellow"/>
          <w:lang w:val="fr"/>
        </w:rPr>
        <w:t>[</w:t>
      </w:r>
      <w:proofErr w:type="gramStart"/>
      <w:r>
        <w:rPr>
          <w:rFonts w:ascii="Arial" w:eastAsia="Times New Roman" w:hAnsi="Arial" w:cs="Arial"/>
          <w:highlight w:val="yellow"/>
          <w:lang w:val="fr"/>
        </w:rPr>
        <w:t>date</w:t>
      </w:r>
      <w:proofErr w:type="gramEnd"/>
      <w:r>
        <w:rPr>
          <w:rFonts w:ascii="Arial" w:eastAsia="Times New Roman" w:hAnsi="Arial" w:cs="Arial"/>
          <w:highlight w:val="yellow"/>
          <w:lang w:val="fr"/>
        </w:rPr>
        <w:t>]</w:t>
      </w:r>
    </w:p>
    <w:p w14:paraId="140C456F" w14:textId="77777777" w:rsidR="00333D33" w:rsidRPr="00555AD3" w:rsidRDefault="00333D33" w:rsidP="00333D33">
      <w:pPr>
        <w:spacing w:line="242" w:lineRule="atLeast"/>
        <w:rPr>
          <w:rFonts w:ascii="Arial" w:eastAsia="Times New Roman" w:hAnsi="Arial" w:cs="Arial"/>
          <w:lang w:val="fr-CH"/>
        </w:rPr>
      </w:pPr>
    </w:p>
    <w:p w14:paraId="140C4570" w14:textId="77777777" w:rsidR="0016277D" w:rsidRPr="00555AD3" w:rsidRDefault="0016277D" w:rsidP="00333D33">
      <w:pPr>
        <w:spacing w:line="242" w:lineRule="atLeast"/>
        <w:rPr>
          <w:rFonts w:ascii="Arial" w:eastAsia="Times New Roman" w:hAnsi="Arial" w:cs="Arial"/>
          <w:lang w:val="fr-CH"/>
        </w:rPr>
      </w:pPr>
      <w:r>
        <w:rPr>
          <w:rFonts w:ascii="Arial" w:eastAsia="Times New Roman" w:hAnsi="Arial" w:cs="Arial"/>
          <w:lang w:val="fr"/>
        </w:rPr>
        <w:t xml:space="preserve">Chers </w:t>
      </w:r>
      <w:r>
        <w:rPr>
          <w:rFonts w:ascii="Arial" w:eastAsia="Times New Roman" w:hAnsi="Arial" w:cs="Arial"/>
          <w:highlight w:val="yellow"/>
          <w:lang w:val="fr"/>
        </w:rPr>
        <w:t>[agents du Fonds mondial]</w:t>
      </w:r>
      <w:r>
        <w:rPr>
          <w:lang w:val="fr"/>
        </w:rPr>
        <w:t>,</w:t>
      </w:r>
    </w:p>
    <w:p w14:paraId="140C4571" w14:textId="77777777" w:rsidR="0016277D" w:rsidRPr="00555AD3" w:rsidRDefault="0016277D" w:rsidP="00333D33">
      <w:pPr>
        <w:spacing w:line="242" w:lineRule="atLeast"/>
        <w:rPr>
          <w:rFonts w:ascii="Arial" w:eastAsia="Times New Roman" w:hAnsi="Arial" w:cs="Arial"/>
          <w:lang w:val="fr-CH"/>
        </w:rPr>
      </w:pPr>
    </w:p>
    <w:p w14:paraId="140C4572" w14:textId="77777777" w:rsidR="002F04C4" w:rsidRPr="00555AD3" w:rsidRDefault="0075553E" w:rsidP="00BF3CC3">
      <w:pPr>
        <w:rPr>
          <w:rFonts w:ascii="Arial" w:eastAsia="Times New Roman" w:hAnsi="Arial" w:cs="Arial"/>
          <w:lang w:val="fr-CH"/>
        </w:rPr>
      </w:pPr>
      <w:r>
        <w:rPr>
          <w:rFonts w:ascii="Arial" w:eastAsia="Times New Roman" w:hAnsi="Arial" w:cs="Arial"/>
          <w:lang w:val="fr"/>
        </w:rPr>
        <w:t xml:space="preserve">Cette lettre présente nos engagements de cofinancement pour la période d’allocation 2023-2025 du Fonds mondial, qui couvrira la période </w:t>
      </w:r>
      <w:r>
        <w:rPr>
          <w:rFonts w:ascii="Arial" w:eastAsia="Times New Roman" w:hAnsi="Arial" w:cs="Arial"/>
          <w:highlight w:val="yellow"/>
          <w:lang w:val="fr"/>
        </w:rPr>
        <w:t>[inclure la période d’utilisation de la somme allouée pertinente pour le pays]</w:t>
      </w:r>
      <w:r>
        <w:rPr>
          <w:rFonts w:ascii="Arial" w:eastAsia="Times New Roman" w:hAnsi="Arial" w:cs="Arial"/>
          <w:lang w:val="fr"/>
        </w:rPr>
        <w:t xml:space="preserve"> (comprise) pour </w:t>
      </w:r>
      <w:r>
        <w:rPr>
          <w:rFonts w:ascii="Arial" w:eastAsia="Times New Roman" w:hAnsi="Arial" w:cs="Arial"/>
          <w:highlight w:val="yellow"/>
          <w:lang w:val="fr"/>
        </w:rPr>
        <w:t>[le pays]</w:t>
      </w:r>
      <w:r>
        <w:rPr>
          <w:rFonts w:ascii="Arial" w:eastAsia="Times New Roman" w:hAnsi="Arial" w:cs="Arial"/>
          <w:lang w:val="fr"/>
        </w:rPr>
        <w:t>.</w:t>
      </w:r>
    </w:p>
    <w:p w14:paraId="140C4573" w14:textId="77777777" w:rsidR="0012244F" w:rsidRPr="00555AD3" w:rsidRDefault="0012244F" w:rsidP="00BF3CC3">
      <w:pPr>
        <w:rPr>
          <w:rFonts w:ascii="Arial" w:eastAsia="Times New Roman" w:hAnsi="Arial" w:cs="Arial"/>
          <w:lang w:val="fr-CH"/>
        </w:rPr>
      </w:pPr>
    </w:p>
    <w:p w14:paraId="140C4574" w14:textId="77777777" w:rsidR="000F1BF7" w:rsidRPr="00555AD3" w:rsidRDefault="0012244F" w:rsidP="7296D1AD">
      <w:pPr>
        <w:rPr>
          <w:rFonts w:ascii="Arial" w:eastAsia="Times New Roman" w:hAnsi="Arial" w:cs="Arial"/>
          <w:lang w:val="fr-CH"/>
        </w:rPr>
      </w:pPr>
      <w:r>
        <w:rPr>
          <w:rFonts w:ascii="Arial" w:eastAsia="Times New Roman" w:hAnsi="Arial" w:cs="Arial"/>
          <w:lang w:val="fr"/>
        </w:rPr>
        <w:t>Nous prenons ces engagements de cofinancement parce que nous comprenons l’importance d’un financement national robuste et croissant pour nos ripostes nationales au VIH, à la tuberculose et au paludisme, et pour disposer de systèmes résistants et pérennes pour la santé. Les engagements de cofinancement énoncés dans la présente lettre tiennent également compte de notre situation macroéconomique et financière globale et se fondent sur notre évaluation minutieuse du niveau de mobilisation des ressources nationales que nous pouvons atteindre de manière durable tout en tenant compte d’autres priorités sanitaires, sociales et économiques de notre pays.</w:t>
      </w:r>
    </w:p>
    <w:p w14:paraId="140C4575" w14:textId="77777777" w:rsidR="00050560" w:rsidRPr="00555AD3" w:rsidRDefault="00050560" w:rsidP="00333D33">
      <w:pPr>
        <w:pStyle w:val="ListParagraph"/>
        <w:numPr>
          <w:ilvl w:val="0"/>
          <w:numId w:val="10"/>
        </w:numPr>
        <w:spacing w:line="242" w:lineRule="atLeast"/>
        <w:rPr>
          <w:rFonts w:ascii="Arial" w:hAnsi="Arial" w:cs="Arial"/>
          <w:b/>
          <w:bCs/>
          <w:lang w:val="fr-CH"/>
        </w:rPr>
      </w:pPr>
      <w:r>
        <w:rPr>
          <w:rFonts w:ascii="Arial" w:hAnsi="Arial" w:cs="Arial"/>
          <w:b/>
          <w:bCs/>
          <w:lang w:val="fr"/>
        </w:rPr>
        <w:t xml:space="preserve">Cofinancement au cours de la période d’allocation 2023-2025 </w:t>
      </w:r>
    </w:p>
    <w:p w14:paraId="140C4576" w14:textId="77777777" w:rsidR="000250C5" w:rsidRPr="00555AD3" w:rsidRDefault="00A406A4" w:rsidP="00E043EE">
      <w:pPr>
        <w:spacing w:line="242" w:lineRule="atLeast"/>
        <w:rPr>
          <w:rFonts w:ascii="Arial" w:hAnsi="Arial" w:cs="Arial"/>
          <w:lang w:val="fr-CH"/>
        </w:rPr>
      </w:pPr>
      <w:r>
        <w:rPr>
          <w:rFonts w:ascii="Arial" w:hAnsi="Arial" w:cs="Arial"/>
          <w:b/>
          <w:bCs/>
          <w:i/>
          <w:iCs/>
          <w:lang w:val="fr"/>
        </w:rPr>
        <w:t>1.1. Engagements globaux de dépenses de santé.</w:t>
      </w:r>
      <w:r>
        <w:rPr>
          <w:rFonts w:ascii="Arial" w:hAnsi="Arial" w:cs="Arial"/>
          <w:i/>
          <w:iCs/>
          <w:lang w:val="fr"/>
        </w:rPr>
        <w:t xml:space="preserve"> </w:t>
      </w:r>
      <w:r>
        <w:rPr>
          <w:rFonts w:ascii="Arial" w:hAnsi="Arial" w:cs="Arial"/>
          <w:lang w:val="fr"/>
        </w:rPr>
        <w:t xml:space="preserve">Au cours de la période d’allocation 2023-2025, nous avons l’intention </w:t>
      </w:r>
      <w:r>
        <w:rPr>
          <w:rFonts w:ascii="Arial" w:hAnsi="Arial" w:cs="Arial"/>
          <w:highlight w:val="yellow"/>
          <w:lang w:val="fr"/>
        </w:rPr>
        <w:t>[comme indiqué dans les documents relatifs au budget joints]</w:t>
      </w:r>
      <w:r>
        <w:rPr>
          <w:rFonts w:ascii="Arial" w:hAnsi="Arial" w:cs="Arial"/>
          <w:lang w:val="fr"/>
        </w:rPr>
        <w:t xml:space="preserve"> de faire passer le budget du gouvernement en matière de santé de </w:t>
      </w:r>
      <w:r>
        <w:rPr>
          <w:rFonts w:ascii="Arial" w:hAnsi="Arial" w:cs="Arial"/>
          <w:highlight w:val="yellow"/>
          <w:lang w:val="fr"/>
        </w:rPr>
        <w:t>XX (USD/€)</w:t>
      </w:r>
      <w:r>
        <w:rPr>
          <w:rFonts w:ascii="Arial" w:hAnsi="Arial" w:cs="Arial"/>
          <w:lang w:val="fr"/>
        </w:rPr>
        <w:t xml:space="preserve"> en </w:t>
      </w:r>
      <w:r>
        <w:rPr>
          <w:rFonts w:ascii="Arial" w:hAnsi="Arial" w:cs="Arial"/>
          <w:highlight w:val="yellow"/>
          <w:lang w:val="fr"/>
        </w:rPr>
        <w:t>[2023]</w:t>
      </w:r>
      <w:r>
        <w:rPr>
          <w:rFonts w:ascii="Arial" w:hAnsi="Arial" w:cs="Arial"/>
          <w:lang w:val="fr"/>
        </w:rPr>
        <w:t xml:space="preserve"> à </w:t>
      </w:r>
      <w:r>
        <w:rPr>
          <w:rFonts w:ascii="Arial" w:hAnsi="Arial" w:cs="Arial"/>
          <w:highlight w:val="yellow"/>
          <w:lang w:val="fr"/>
        </w:rPr>
        <w:t>YY (USD/€)</w:t>
      </w:r>
      <w:r>
        <w:rPr>
          <w:rFonts w:ascii="Arial" w:hAnsi="Arial" w:cs="Arial"/>
          <w:lang w:val="fr"/>
        </w:rPr>
        <w:t xml:space="preserve"> d’ici </w:t>
      </w:r>
      <w:r>
        <w:rPr>
          <w:rFonts w:ascii="Arial" w:hAnsi="Arial" w:cs="Arial"/>
          <w:highlight w:val="yellow"/>
          <w:lang w:val="fr"/>
        </w:rPr>
        <w:t>[2026]</w:t>
      </w:r>
      <w:r>
        <w:rPr>
          <w:rFonts w:ascii="Arial" w:hAnsi="Arial" w:cs="Arial"/>
          <w:lang w:val="fr"/>
        </w:rPr>
        <w:t xml:space="preserve">, un taux d’augmentation de </w:t>
      </w:r>
      <w:r>
        <w:rPr>
          <w:rFonts w:ascii="Arial" w:hAnsi="Arial" w:cs="Arial"/>
          <w:highlight w:val="yellow"/>
          <w:lang w:val="fr"/>
        </w:rPr>
        <w:t>ZZ %</w:t>
      </w:r>
      <w:r>
        <w:rPr>
          <w:rFonts w:ascii="Arial" w:hAnsi="Arial" w:cs="Arial"/>
          <w:lang w:val="fr"/>
        </w:rPr>
        <w:t xml:space="preserve">. En proportion des dépenses totales du gouvernement, nous nous attendons à ce que la santé représente </w:t>
      </w:r>
      <w:r>
        <w:rPr>
          <w:rFonts w:ascii="Arial" w:hAnsi="Arial" w:cs="Arial"/>
          <w:highlight w:val="yellow"/>
          <w:lang w:val="fr"/>
        </w:rPr>
        <w:t>AA %</w:t>
      </w:r>
      <w:r>
        <w:rPr>
          <w:rFonts w:ascii="Arial" w:hAnsi="Arial" w:cs="Arial"/>
          <w:lang w:val="fr"/>
        </w:rPr>
        <w:t xml:space="preserve"> en </w:t>
      </w:r>
      <w:r>
        <w:rPr>
          <w:rFonts w:ascii="Arial" w:hAnsi="Arial" w:cs="Arial"/>
          <w:highlight w:val="yellow"/>
          <w:lang w:val="fr"/>
        </w:rPr>
        <w:t>[2023]</w:t>
      </w:r>
      <w:r>
        <w:rPr>
          <w:rFonts w:ascii="Arial" w:hAnsi="Arial" w:cs="Arial"/>
          <w:lang w:val="fr"/>
        </w:rPr>
        <w:t xml:space="preserve"> et </w:t>
      </w:r>
      <w:r>
        <w:rPr>
          <w:rFonts w:ascii="Arial" w:hAnsi="Arial" w:cs="Arial"/>
          <w:highlight w:val="yellow"/>
          <w:lang w:val="fr"/>
        </w:rPr>
        <w:t>BB %</w:t>
      </w:r>
      <w:r>
        <w:rPr>
          <w:rFonts w:ascii="Arial" w:hAnsi="Arial" w:cs="Arial"/>
          <w:lang w:val="fr"/>
        </w:rPr>
        <w:t xml:space="preserve"> d’ici </w:t>
      </w:r>
      <w:r>
        <w:rPr>
          <w:rFonts w:ascii="Arial" w:hAnsi="Arial" w:cs="Arial"/>
          <w:highlight w:val="yellow"/>
          <w:lang w:val="fr"/>
        </w:rPr>
        <w:t>[2026]</w:t>
      </w:r>
      <w:r>
        <w:rPr>
          <w:rFonts w:ascii="Arial" w:hAnsi="Arial" w:cs="Arial"/>
          <w:lang w:val="fr"/>
        </w:rPr>
        <w:t>. Nous comprenons l’importance d’allouer une proportion conséquente de nos dépenses publiques au secteur de la santé et d’offrir une base solide aux contributions de notre pays destinées aux ripostes nationales au VIH, à la tuberculose et au paludisme et aux SRPS.</w:t>
      </w:r>
    </w:p>
    <w:p w14:paraId="140C4577" w14:textId="77777777" w:rsidR="00546943" w:rsidRPr="00555AD3" w:rsidRDefault="00546943" w:rsidP="00333D33">
      <w:pPr>
        <w:spacing w:line="242" w:lineRule="atLeast"/>
        <w:rPr>
          <w:rFonts w:ascii="Arial" w:eastAsia="Times New Roman" w:hAnsi="Arial" w:cs="Arial"/>
          <w:b/>
          <w:bCs/>
          <w:lang w:val="fr-CH"/>
        </w:rPr>
      </w:pPr>
    </w:p>
    <w:p w14:paraId="140C4578" w14:textId="77777777" w:rsidR="005249E6" w:rsidRPr="00555AD3" w:rsidRDefault="00A406A4" w:rsidP="00333D33">
      <w:pPr>
        <w:spacing w:line="242" w:lineRule="atLeast"/>
        <w:rPr>
          <w:rFonts w:ascii="Arial" w:eastAsia="Times New Roman" w:hAnsi="Arial" w:cs="Arial"/>
          <w:lang w:val="fr-CH"/>
        </w:rPr>
      </w:pPr>
      <w:r>
        <w:rPr>
          <w:rFonts w:ascii="Arial" w:eastAsia="Times New Roman" w:hAnsi="Arial" w:cs="Arial"/>
          <w:b/>
          <w:bCs/>
          <w:i/>
          <w:iCs/>
          <w:lang w:val="fr"/>
        </w:rPr>
        <w:t>1.2. Engagements en matière de VIH, de tuberculose, de paludisme et de SRPS.</w:t>
      </w:r>
      <w:r>
        <w:rPr>
          <w:rFonts w:ascii="Arial" w:eastAsia="Times New Roman" w:hAnsi="Arial" w:cs="Arial"/>
          <w:lang w:val="fr"/>
        </w:rPr>
        <w:t xml:space="preserve"> Nous comprenons que, selon la lettre d’allocation du Fonds mondial datée du </w:t>
      </w:r>
      <w:r>
        <w:rPr>
          <w:rFonts w:ascii="Arial" w:eastAsia="Times New Roman" w:hAnsi="Arial" w:cs="Arial"/>
          <w:highlight w:val="yellow"/>
          <w:lang w:val="fr"/>
        </w:rPr>
        <w:t>AA</w:t>
      </w:r>
      <w:r>
        <w:rPr>
          <w:rFonts w:ascii="Arial" w:eastAsia="Times New Roman" w:hAnsi="Arial" w:cs="Arial"/>
          <w:lang w:val="fr"/>
        </w:rPr>
        <w:t xml:space="preserve">, </w:t>
      </w:r>
      <w:r>
        <w:rPr>
          <w:rFonts w:ascii="Arial" w:eastAsia="Times New Roman" w:hAnsi="Arial" w:cs="Arial"/>
          <w:highlight w:val="yellow"/>
          <w:lang w:val="fr"/>
        </w:rPr>
        <w:t>X %</w:t>
      </w:r>
      <w:r>
        <w:rPr>
          <w:rFonts w:ascii="Arial" w:eastAsia="Times New Roman" w:hAnsi="Arial" w:cs="Arial"/>
          <w:lang w:val="fr"/>
        </w:rPr>
        <w:t xml:space="preserve"> de l’allocation totale </w:t>
      </w:r>
      <w:r>
        <w:rPr>
          <w:rFonts w:ascii="Arial" w:eastAsia="Times New Roman" w:hAnsi="Arial" w:cs="Arial"/>
          <w:highlight w:val="yellow"/>
          <w:lang w:val="fr"/>
        </w:rPr>
        <w:t>[du pays]</w:t>
      </w:r>
      <w:r>
        <w:rPr>
          <w:rFonts w:ascii="Arial" w:eastAsia="Times New Roman" w:hAnsi="Arial" w:cs="Arial"/>
          <w:lang w:val="fr"/>
        </w:rPr>
        <w:t xml:space="preserve"> qui se chiffre à </w:t>
      </w:r>
      <w:r>
        <w:rPr>
          <w:rFonts w:ascii="Arial" w:eastAsia="Times New Roman" w:hAnsi="Arial" w:cs="Arial"/>
          <w:highlight w:val="yellow"/>
          <w:lang w:val="fr"/>
        </w:rPr>
        <w:t>[allocation totale en USD/€]</w:t>
      </w:r>
      <w:r>
        <w:rPr>
          <w:rFonts w:ascii="Arial" w:eastAsia="Times New Roman" w:hAnsi="Arial" w:cs="Arial"/>
          <w:lang w:val="fr"/>
        </w:rPr>
        <w:t xml:space="preserve"> ne sera accessible que lorsque </w:t>
      </w:r>
      <w:r>
        <w:rPr>
          <w:rFonts w:ascii="Arial" w:eastAsia="Times New Roman" w:hAnsi="Arial" w:cs="Arial"/>
          <w:highlight w:val="yellow"/>
          <w:lang w:val="fr"/>
        </w:rPr>
        <w:t>[le pays]</w:t>
      </w:r>
      <w:r>
        <w:rPr>
          <w:rFonts w:ascii="Arial" w:eastAsia="Times New Roman" w:hAnsi="Arial" w:cs="Arial"/>
          <w:lang w:val="fr"/>
        </w:rPr>
        <w:t xml:space="preserve"> prendra et concrétisera un engagement financier national total en faveur du VIH, de la tuberculose, du paludisme et des SRPS au cours de la période d’allocation 2023-2025 égal ou supérieur à </w:t>
      </w:r>
      <w:r>
        <w:rPr>
          <w:rFonts w:ascii="Arial" w:eastAsia="Times New Roman" w:hAnsi="Arial" w:cs="Arial"/>
          <w:highlight w:val="yellow"/>
          <w:lang w:val="fr"/>
        </w:rPr>
        <w:t>[engagement attendu en USD/€]</w:t>
      </w:r>
      <w:r>
        <w:rPr>
          <w:rFonts w:ascii="Arial" w:eastAsia="Times New Roman" w:hAnsi="Arial" w:cs="Arial"/>
          <w:lang w:val="fr"/>
        </w:rPr>
        <w:t xml:space="preserve">. </w:t>
      </w:r>
    </w:p>
    <w:p w14:paraId="140C4579" w14:textId="77777777" w:rsidR="001A1529" w:rsidRPr="00555AD3" w:rsidRDefault="001A1529" w:rsidP="00333D33">
      <w:pPr>
        <w:spacing w:line="242" w:lineRule="atLeast"/>
        <w:rPr>
          <w:rFonts w:ascii="Arial" w:eastAsia="Times New Roman" w:hAnsi="Arial" w:cs="Arial"/>
          <w:lang w:val="fr-CH"/>
        </w:rPr>
      </w:pPr>
    </w:p>
    <w:p w14:paraId="140C457A" w14:textId="77777777" w:rsidR="00494E54" w:rsidRPr="00555AD3" w:rsidRDefault="005249E6" w:rsidP="00494E54">
      <w:pPr>
        <w:spacing w:line="242" w:lineRule="atLeast"/>
        <w:rPr>
          <w:rFonts w:ascii="Arial" w:hAnsi="Arial" w:cs="Arial"/>
          <w:b/>
          <w:bCs/>
          <w:lang w:val="fr-CH"/>
        </w:rPr>
      </w:pPr>
      <w:r>
        <w:rPr>
          <w:rFonts w:ascii="Arial" w:eastAsia="Times New Roman" w:hAnsi="Arial" w:cs="Arial"/>
          <w:lang w:val="fr"/>
        </w:rPr>
        <w:lastRenderedPageBreak/>
        <w:t xml:space="preserve">Nous nous engageons à tenir les exigences d’un financement national total de </w:t>
      </w:r>
      <w:r>
        <w:rPr>
          <w:rFonts w:ascii="Arial" w:eastAsia="Times New Roman" w:hAnsi="Arial" w:cs="Arial"/>
          <w:highlight w:val="yellow"/>
          <w:lang w:val="fr"/>
        </w:rPr>
        <w:t>[USD/€]</w:t>
      </w:r>
      <w:r>
        <w:rPr>
          <w:rFonts w:ascii="Arial" w:eastAsia="Times New Roman" w:hAnsi="Arial" w:cs="Arial"/>
          <w:lang w:val="fr"/>
        </w:rPr>
        <w:t xml:space="preserve"> au cours de la période d’allocation 2023-2025. Nos engagements pour chaque maladie et les SRPS sont présentés dans le tableau ci-dessous.</w:t>
      </w:r>
    </w:p>
    <w:p w14:paraId="140C457B" w14:textId="77777777" w:rsidR="00494E54" w:rsidRPr="00555AD3" w:rsidRDefault="00494E54" w:rsidP="00494E54">
      <w:pPr>
        <w:spacing w:line="242" w:lineRule="atLeast"/>
        <w:rPr>
          <w:rFonts w:ascii="Arial" w:hAnsi="Arial" w:cs="Arial"/>
          <w:b/>
          <w:bCs/>
          <w:lang w:val="fr-CH"/>
        </w:rPr>
      </w:pPr>
    </w:p>
    <w:p w14:paraId="140C457C" w14:textId="77777777" w:rsidR="67455422" w:rsidRPr="00555AD3" w:rsidRDefault="67455422" w:rsidP="00494E54">
      <w:pPr>
        <w:spacing w:line="242" w:lineRule="atLeast"/>
        <w:rPr>
          <w:rFonts w:ascii="Arial" w:eastAsia="Times New Roman" w:hAnsi="Arial" w:cs="Arial"/>
          <w:lang w:val="fr-CH"/>
        </w:rPr>
      </w:pPr>
      <w:r>
        <w:rPr>
          <w:rFonts w:ascii="Arial" w:hAnsi="Arial" w:cs="Arial"/>
          <w:b/>
          <w:bCs/>
          <w:lang w:val="fr"/>
        </w:rPr>
        <w:t>Engagements de cofinancement pour la période d’allocation 2023-2025</w:t>
      </w:r>
    </w:p>
    <w:p w14:paraId="140C457D" w14:textId="77777777" w:rsidR="3E1FCAEC" w:rsidRPr="00555AD3" w:rsidRDefault="3E1FCAEC" w:rsidP="3E1FCAEC">
      <w:pPr>
        <w:rPr>
          <w:rFonts w:ascii="Arial" w:eastAsia="Arial" w:hAnsi="Arial" w:cs="Arial"/>
          <w:lang w:val="fr-CH"/>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85"/>
        <w:gridCol w:w="805"/>
        <w:gridCol w:w="805"/>
        <w:gridCol w:w="805"/>
        <w:gridCol w:w="806"/>
        <w:gridCol w:w="815"/>
        <w:gridCol w:w="815"/>
        <w:gridCol w:w="815"/>
        <w:gridCol w:w="815"/>
        <w:gridCol w:w="1488"/>
        <w:gridCol w:w="1489"/>
      </w:tblGrid>
      <w:tr w:rsidR="00E233CA" w:rsidRPr="00380990" w14:paraId="140C4585" w14:textId="77777777" w:rsidTr="00C97F50">
        <w:trPr>
          <w:trHeight w:val="315"/>
        </w:trPr>
        <w:tc>
          <w:tcPr>
            <w:tcW w:w="885" w:type="dxa"/>
            <w:vMerge w:val="restart"/>
            <w:shd w:val="clear" w:color="auto" w:fill="D9E2F3" w:themeFill="accent5" w:themeFillTint="33"/>
            <w:vAlign w:val="center"/>
          </w:tcPr>
          <w:p w14:paraId="140C457E" w14:textId="77777777" w:rsidR="00E233CA" w:rsidRPr="00555AD3" w:rsidRDefault="00E233CA" w:rsidP="3E1FCAEC">
            <w:pPr>
              <w:rPr>
                <w:rFonts w:ascii="Arial" w:eastAsia="Arial" w:hAnsi="Arial" w:cs="Arial"/>
                <w:b/>
                <w:bCs/>
                <w:sz w:val="18"/>
                <w:szCs w:val="18"/>
                <w:lang w:val="fr-CH"/>
              </w:rPr>
            </w:pPr>
            <w:r>
              <w:rPr>
                <w:rFonts w:ascii="Arial" w:eastAsia="Arial" w:hAnsi="Arial" w:cs="Arial"/>
                <w:b/>
                <w:bCs/>
                <w:sz w:val="18"/>
                <w:szCs w:val="18"/>
                <w:lang w:val="fr"/>
              </w:rPr>
              <w:t xml:space="preserve"> </w:t>
            </w:r>
          </w:p>
          <w:p w14:paraId="140C457F" w14:textId="77777777" w:rsidR="00E233CA" w:rsidRPr="00555AD3" w:rsidRDefault="00E233CA" w:rsidP="006A4082">
            <w:pPr>
              <w:rPr>
                <w:rFonts w:ascii="Arial" w:eastAsia="Arial" w:hAnsi="Arial" w:cs="Arial"/>
                <w:b/>
                <w:bCs/>
                <w:sz w:val="18"/>
                <w:szCs w:val="18"/>
                <w:lang w:val="fr-CH"/>
              </w:rPr>
            </w:pPr>
            <w:r>
              <w:rPr>
                <w:rFonts w:ascii="Arial" w:eastAsia="Arial" w:hAnsi="Arial" w:cs="Arial"/>
                <w:color w:val="000000" w:themeColor="text1"/>
                <w:sz w:val="18"/>
                <w:szCs w:val="18"/>
                <w:lang w:val="fr"/>
              </w:rPr>
              <w:t xml:space="preserve"> </w:t>
            </w:r>
          </w:p>
        </w:tc>
        <w:tc>
          <w:tcPr>
            <w:tcW w:w="3221" w:type="dxa"/>
            <w:gridSpan w:val="4"/>
            <w:shd w:val="clear" w:color="auto" w:fill="D9E2F3" w:themeFill="accent5" w:themeFillTint="33"/>
            <w:vAlign w:val="center"/>
          </w:tcPr>
          <w:p w14:paraId="140C4580" w14:textId="77777777" w:rsidR="00E233CA" w:rsidRPr="000C2F23" w:rsidRDefault="00E233CA" w:rsidP="006A4082">
            <w:pPr>
              <w:jc w:val="center"/>
              <w:rPr>
                <w:rFonts w:ascii="Arial" w:eastAsia="Arial" w:hAnsi="Arial" w:cs="Arial"/>
                <w:b/>
                <w:bCs/>
                <w:color w:val="000000" w:themeColor="text1"/>
                <w:sz w:val="18"/>
                <w:szCs w:val="18"/>
              </w:rPr>
            </w:pPr>
            <w:r>
              <w:rPr>
                <w:rFonts w:ascii="Arial" w:hAnsi="Arial" w:cs="Arial"/>
                <w:b/>
                <w:bCs/>
                <w:color w:val="000000" w:themeColor="text1"/>
                <w:sz w:val="18"/>
                <w:szCs w:val="18"/>
                <w:lang w:val="fr"/>
              </w:rPr>
              <w:t xml:space="preserve">Période d’allocation 2020-2022 </w:t>
            </w:r>
            <w:r>
              <w:rPr>
                <w:rFonts w:ascii="Arial" w:hAnsi="Arial" w:cs="Arial"/>
                <w:b/>
                <w:bCs/>
                <w:sz w:val="18"/>
                <w:szCs w:val="18"/>
                <w:highlight w:val="yellow"/>
                <w:lang w:val="fr"/>
              </w:rPr>
              <w:t>(USD/€)</w:t>
            </w:r>
          </w:p>
        </w:tc>
        <w:tc>
          <w:tcPr>
            <w:tcW w:w="3260" w:type="dxa"/>
            <w:gridSpan w:val="4"/>
            <w:shd w:val="clear" w:color="auto" w:fill="D9E2F3" w:themeFill="accent5" w:themeFillTint="33"/>
            <w:vAlign w:val="center"/>
          </w:tcPr>
          <w:p w14:paraId="140C4581" w14:textId="77777777" w:rsidR="00E233CA" w:rsidRPr="000C2F23" w:rsidRDefault="00E233CA" w:rsidP="3E1FCAEC">
            <w:pPr>
              <w:jc w:val="center"/>
              <w:rPr>
                <w:rFonts w:ascii="Arial" w:eastAsia="Arial" w:hAnsi="Arial" w:cs="Arial"/>
                <w:b/>
                <w:bCs/>
                <w:color w:val="000000" w:themeColor="text1"/>
                <w:sz w:val="18"/>
                <w:szCs w:val="18"/>
              </w:rPr>
            </w:pPr>
            <w:r>
              <w:rPr>
                <w:rFonts w:ascii="Arial" w:hAnsi="Arial" w:cs="Arial"/>
                <w:b/>
                <w:bCs/>
                <w:color w:val="000000" w:themeColor="text1"/>
                <w:sz w:val="18"/>
                <w:szCs w:val="18"/>
                <w:lang w:val="fr"/>
              </w:rPr>
              <w:t xml:space="preserve">Période d’allocation 2023-2025 </w:t>
            </w:r>
            <w:r>
              <w:rPr>
                <w:rFonts w:ascii="Arial" w:hAnsi="Arial" w:cs="Arial"/>
                <w:b/>
                <w:bCs/>
                <w:sz w:val="18"/>
                <w:szCs w:val="18"/>
                <w:highlight w:val="yellow"/>
                <w:lang w:val="fr"/>
              </w:rPr>
              <w:t>(USD/€)</w:t>
            </w:r>
          </w:p>
        </w:tc>
        <w:tc>
          <w:tcPr>
            <w:tcW w:w="1488" w:type="dxa"/>
            <w:vMerge w:val="restart"/>
            <w:shd w:val="clear" w:color="auto" w:fill="D9E2F3" w:themeFill="accent5" w:themeFillTint="33"/>
            <w:vAlign w:val="center"/>
          </w:tcPr>
          <w:p w14:paraId="140C4582" w14:textId="77777777" w:rsidR="00E233CA" w:rsidRPr="00555AD3" w:rsidRDefault="00865E8A" w:rsidP="00426EB6">
            <w:pPr>
              <w:jc w:val="center"/>
              <w:rPr>
                <w:rFonts w:ascii="Arial" w:eastAsia="Arial" w:hAnsi="Arial" w:cs="Arial"/>
                <w:b/>
                <w:bCs/>
                <w:color w:val="000000" w:themeColor="text1"/>
                <w:sz w:val="18"/>
                <w:szCs w:val="18"/>
                <w:lang w:val="fr-CH"/>
              </w:rPr>
            </w:pPr>
            <w:r>
              <w:rPr>
                <w:rFonts w:ascii="Arial" w:eastAsia="Arial" w:hAnsi="Arial" w:cs="Arial"/>
                <w:b/>
                <w:bCs/>
                <w:color w:val="000000" w:themeColor="text1"/>
                <w:sz w:val="18"/>
                <w:szCs w:val="18"/>
                <w:lang w:val="fr"/>
              </w:rPr>
              <w:t xml:space="preserve">Montant supplémentaire (différence dans les totaux) </w:t>
            </w:r>
          </w:p>
          <w:p w14:paraId="140C4583" w14:textId="77777777" w:rsidR="00E233CA" w:rsidRPr="000C2F23" w:rsidRDefault="00E233CA" w:rsidP="00426EB6">
            <w:pPr>
              <w:jc w:val="center"/>
              <w:rPr>
                <w:rFonts w:ascii="Arial" w:eastAsia="Arial" w:hAnsi="Arial" w:cs="Arial"/>
                <w:b/>
                <w:bCs/>
                <w:color w:val="000000" w:themeColor="text1"/>
                <w:sz w:val="18"/>
                <w:szCs w:val="18"/>
              </w:rPr>
            </w:pPr>
            <w:r>
              <w:rPr>
                <w:rFonts w:ascii="Arial" w:eastAsia="Times New Roman" w:hAnsi="Arial" w:cs="Arial"/>
                <w:b/>
                <w:bCs/>
                <w:sz w:val="18"/>
                <w:szCs w:val="18"/>
                <w:highlight w:val="yellow"/>
                <w:lang w:val="fr"/>
              </w:rPr>
              <w:t>(USD/€)</w:t>
            </w:r>
          </w:p>
        </w:tc>
        <w:tc>
          <w:tcPr>
            <w:tcW w:w="1489" w:type="dxa"/>
            <w:vMerge w:val="restart"/>
            <w:shd w:val="clear" w:color="auto" w:fill="D9E2F3" w:themeFill="accent5" w:themeFillTint="33"/>
            <w:vAlign w:val="center"/>
          </w:tcPr>
          <w:p w14:paraId="140C4584" w14:textId="77777777" w:rsidR="00E233CA" w:rsidRPr="00555AD3" w:rsidRDefault="00E233CA" w:rsidP="00C97F50">
            <w:pPr>
              <w:jc w:val="center"/>
              <w:rPr>
                <w:rFonts w:ascii="Arial" w:eastAsia="Times New Roman" w:hAnsi="Arial" w:cs="Arial"/>
                <w:b/>
                <w:sz w:val="18"/>
                <w:szCs w:val="18"/>
                <w:lang w:val="fr-CH"/>
              </w:rPr>
            </w:pPr>
            <w:r>
              <w:rPr>
                <w:rFonts w:ascii="Arial" w:eastAsia="Times New Roman" w:hAnsi="Arial" w:cs="Arial"/>
                <w:b/>
                <w:bCs/>
                <w:sz w:val="18"/>
                <w:szCs w:val="18"/>
                <w:lang w:val="fr"/>
              </w:rPr>
              <w:t>Source des données pour la surveillance et la vérification</w:t>
            </w:r>
          </w:p>
        </w:tc>
      </w:tr>
      <w:tr w:rsidR="00E233CA" w14:paraId="140C4591" w14:textId="77777777" w:rsidTr="000C2F23">
        <w:trPr>
          <w:trHeight w:val="315"/>
        </w:trPr>
        <w:tc>
          <w:tcPr>
            <w:tcW w:w="885" w:type="dxa"/>
            <w:vMerge/>
            <w:shd w:val="clear" w:color="auto" w:fill="D9E2F3" w:themeFill="accent5" w:themeFillTint="33"/>
            <w:vAlign w:val="center"/>
          </w:tcPr>
          <w:p w14:paraId="140C4586" w14:textId="77777777" w:rsidR="00E233CA" w:rsidRPr="00555AD3" w:rsidRDefault="00E233CA" w:rsidP="006A4082">
            <w:pPr>
              <w:rPr>
                <w:rFonts w:ascii="Arial" w:eastAsia="Arial" w:hAnsi="Arial" w:cs="Arial"/>
                <w:color w:val="000000" w:themeColor="text1"/>
                <w:sz w:val="18"/>
                <w:szCs w:val="18"/>
                <w:lang w:val="fr-CH"/>
              </w:rPr>
            </w:pPr>
          </w:p>
        </w:tc>
        <w:tc>
          <w:tcPr>
            <w:tcW w:w="805" w:type="dxa"/>
            <w:shd w:val="clear" w:color="auto" w:fill="D9E2F3" w:themeFill="accent5" w:themeFillTint="33"/>
            <w:vAlign w:val="center"/>
          </w:tcPr>
          <w:p w14:paraId="140C4587" w14:textId="77777777" w:rsidR="00E233CA" w:rsidRPr="000C2F23" w:rsidRDefault="00E86242" w:rsidP="006A4082">
            <w:pPr>
              <w:rPr>
                <w:rFonts w:ascii="Arial" w:eastAsia="Arial" w:hAnsi="Arial" w:cs="Arial"/>
                <w:color w:val="000000" w:themeColor="text1"/>
                <w:sz w:val="18"/>
                <w:szCs w:val="18"/>
              </w:rPr>
            </w:pPr>
            <w:r>
              <w:rPr>
                <w:rFonts w:ascii="Arial" w:eastAsia="Arial" w:hAnsi="Arial" w:cs="Arial"/>
                <w:b/>
                <w:bCs/>
                <w:color w:val="000000" w:themeColor="text1"/>
                <w:sz w:val="18"/>
                <w:szCs w:val="18"/>
                <w:lang w:val="fr"/>
              </w:rPr>
              <w:t>Mois-A1</w:t>
            </w:r>
          </w:p>
        </w:tc>
        <w:tc>
          <w:tcPr>
            <w:tcW w:w="805" w:type="dxa"/>
            <w:shd w:val="clear" w:color="auto" w:fill="D9E2F3" w:themeFill="accent5" w:themeFillTint="33"/>
            <w:vAlign w:val="center"/>
          </w:tcPr>
          <w:p w14:paraId="140C4588" w14:textId="77777777" w:rsidR="00E233CA" w:rsidRPr="000C2F23" w:rsidRDefault="00E86242" w:rsidP="006A4082">
            <w:pPr>
              <w:rPr>
                <w:rFonts w:ascii="Arial" w:eastAsia="Arial" w:hAnsi="Arial" w:cs="Arial"/>
                <w:color w:val="000000" w:themeColor="text1"/>
                <w:sz w:val="18"/>
                <w:szCs w:val="18"/>
              </w:rPr>
            </w:pPr>
            <w:r>
              <w:rPr>
                <w:rFonts w:ascii="Arial" w:eastAsia="Arial" w:hAnsi="Arial" w:cs="Arial"/>
                <w:b/>
                <w:bCs/>
                <w:color w:val="000000" w:themeColor="text1"/>
                <w:sz w:val="18"/>
                <w:szCs w:val="18"/>
                <w:lang w:val="fr"/>
              </w:rPr>
              <w:t>Mois-A2</w:t>
            </w:r>
          </w:p>
        </w:tc>
        <w:tc>
          <w:tcPr>
            <w:tcW w:w="805" w:type="dxa"/>
            <w:shd w:val="clear" w:color="auto" w:fill="D9E2F3" w:themeFill="accent5" w:themeFillTint="33"/>
            <w:vAlign w:val="center"/>
          </w:tcPr>
          <w:p w14:paraId="140C4589" w14:textId="77777777" w:rsidR="00E233CA" w:rsidRPr="000C2F23" w:rsidRDefault="00E86242" w:rsidP="006A4082">
            <w:pPr>
              <w:rPr>
                <w:rFonts w:ascii="Arial" w:eastAsia="Arial" w:hAnsi="Arial" w:cs="Arial"/>
                <w:color w:val="000000" w:themeColor="text1"/>
                <w:sz w:val="18"/>
                <w:szCs w:val="18"/>
              </w:rPr>
            </w:pPr>
            <w:r>
              <w:rPr>
                <w:rFonts w:ascii="Arial" w:eastAsia="Arial" w:hAnsi="Arial" w:cs="Arial"/>
                <w:b/>
                <w:bCs/>
                <w:color w:val="000000" w:themeColor="text1"/>
                <w:sz w:val="18"/>
                <w:szCs w:val="18"/>
                <w:lang w:val="fr"/>
              </w:rPr>
              <w:t>Mois-A3</w:t>
            </w:r>
          </w:p>
        </w:tc>
        <w:tc>
          <w:tcPr>
            <w:tcW w:w="806" w:type="dxa"/>
            <w:vMerge w:val="restart"/>
            <w:shd w:val="clear" w:color="auto" w:fill="D9E2F3" w:themeFill="accent5" w:themeFillTint="33"/>
            <w:vAlign w:val="center"/>
          </w:tcPr>
          <w:p w14:paraId="140C458A" w14:textId="77777777" w:rsidR="00E233CA" w:rsidRPr="000C2F23" w:rsidRDefault="00E233CA" w:rsidP="006A4082">
            <w:pPr>
              <w:rPr>
                <w:rFonts w:ascii="Arial" w:eastAsia="Arial" w:hAnsi="Arial" w:cs="Arial"/>
                <w:sz w:val="18"/>
                <w:szCs w:val="18"/>
              </w:rPr>
            </w:pPr>
            <w:r>
              <w:rPr>
                <w:rFonts w:ascii="Arial" w:eastAsia="Arial" w:hAnsi="Arial" w:cs="Arial"/>
                <w:b/>
                <w:bCs/>
                <w:color w:val="000000" w:themeColor="text1"/>
                <w:sz w:val="18"/>
                <w:szCs w:val="18"/>
                <w:lang w:val="fr"/>
              </w:rPr>
              <w:t>Total</w:t>
            </w:r>
          </w:p>
        </w:tc>
        <w:tc>
          <w:tcPr>
            <w:tcW w:w="815" w:type="dxa"/>
            <w:shd w:val="clear" w:color="auto" w:fill="D9E2F3" w:themeFill="accent5" w:themeFillTint="33"/>
            <w:vAlign w:val="center"/>
          </w:tcPr>
          <w:p w14:paraId="140C458B" w14:textId="77777777" w:rsidR="00E233CA" w:rsidRPr="000C2F23" w:rsidRDefault="00E86242" w:rsidP="006A4082">
            <w:pPr>
              <w:rPr>
                <w:rFonts w:ascii="Arial" w:eastAsia="Arial" w:hAnsi="Arial" w:cs="Arial"/>
                <w:color w:val="000000" w:themeColor="text1"/>
                <w:sz w:val="18"/>
                <w:szCs w:val="18"/>
              </w:rPr>
            </w:pPr>
            <w:r>
              <w:rPr>
                <w:rFonts w:ascii="Arial" w:eastAsia="Arial" w:hAnsi="Arial" w:cs="Arial"/>
                <w:b/>
                <w:bCs/>
                <w:color w:val="000000" w:themeColor="text1"/>
                <w:sz w:val="18"/>
                <w:szCs w:val="18"/>
                <w:lang w:val="fr"/>
              </w:rPr>
              <w:t>Mois-A1</w:t>
            </w:r>
          </w:p>
        </w:tc>
        <w:tc>
          <w:tcPr>
            <w:tcW w:w="815" w:type="dxa"/>
            <w:shd w:val="clear" w:color="auto" w:fill="D9E2F3" w:themeFill="accent5" w:themeFillTint="33"/>
            <w:vAlign w:val="center"/>
          </w:tcPr>
          <w:p w14:paraId="140C458C" w14:textId="77777777" w:rsidR="00E233CA" w:rsidRPr="000C2F23" w:rsidRDefault="00E86242" w:rsidP="006A4082">
            <w:pPr>
              <w:rPr>
                <w:rFonts w:ascii="Arial" w:eastAsia="Arial" w:hAnsi="Arial" w:cs="Arial"/>
                <w:color w:val="000000" w:themeColor="text1"/>
                <w:sz w:val="18"/>
                <w:szCs w:val="18"/>
              </w:rPr>
            </w:pPr>
            <w:r>
              <w:rPr>
                <w:rFonts w:ascii="Arial" w:eastAsia="Arial" w:hAnsi="Arial" w:cs="Arial"/>
                <w:b/>
                <w:bCs/>
                <w:color w:val="000000" w:themeColor="text1"/>
                <w:sz w:val="18"/>
                <w:szCs w:val="18"/>
                <w:lang w:val="fr"/>
              </w:rPr>
              <w:t>Mois-A2</w:t>
            </w:r>
          </w:p>
        </w:tc>
        <w:tc>
          <w:tcPr>
            <w:tcW w:w="815" w:type="dxa"/>
            <w:shd w:val="clear" w:color="auto" w:fill="D9E2F3" w:themeFill="accent5" w:themeFillTint="33"/>
            <w:vAlign w:val="center"/>
          </w:tcPr>
          <w:p w14:paraId="140C458D" w14:textId="77777777" w:rsidR="00E233CA" w:rsidRPr="000C2F23" w:rsidRDefault="00E86242" w:rsidP="006A4082">
            <w:pPr>
              <w:rPr>
                <w:rFonts w:ascii="Arial" w:eastAsia="Arial" w:hAnsi="Arial" w:cs="Arial"/>
                <w:color w:val="000000" w:themeColor="text1"/>
                <w:sz w:val="18"/>
                <w:szCs w:val="18"/>
              </w:rPr>
            </w:pPr>
            <w:r>
              <w:rPr>
                <w:rFonts w:ascii="Arial" w:eastAsia="Arial" w:hAnsi="Arial" w:cs="Arial"/>
                <w:b/>
                <w:bCs/>
                <w:color w:val="000000" w:themeColor="text1"/>
                <w:sz w:val="18"/>
                <w:szCs w:val="18"/>
                <w:lang w:val="fr"/>
              </w:rPr>
              <w:t>Mois-A3</w:t>
            </w:r>
          </w:p>
        </w:tc>
        <w:tc>
          <w:tcPr>
            <w:tcW w:w="815" w:type="dxa"/>
            <w:vMerge w:val="restart"/>
            <w:shd w:val="clear" w:color="auto" w:fill="D9E2F3" w:themeFill="accent5" w:themeFillTint="33"/>
            <w:vAlign w:val="center"/>
          </w:tcPr>
          <w:p w14:paraId="140C458E" w14:textId="77777777" w:rsidR="00E233CA" w:rsidRPr="000C2F23" w:rsidRDefault="00E233CA" w:rsidP="006A4082">
            <w:pPr>
              <w:rPr>
                <w:rFonts w:ascii="Arial" w:hAnsi="Arial" w:cs="Arial"/>
                <w:sz w:val="18"/>
                <w:szCs w:val="18"/>
              </w:rPr>
            </w:pPr>
            <w:r>
              <w:rPr>
                <w:rFonts w:ascii="Arial" w:eastAsia="Arial" w:hAnsi="Arial" w:cs="Arial"/>
                <w:b/>
                <w:bCs/>
                <w:color w:val="000000" w:themeColor="text1"/>
                <w:sz w:val="18"/>
                <w:szCs w:val="18"/>
                <w:lang w:val="fr"/>
              </w:rPr>
              <w:t>Total</w:t>
            </w:r>
          </w:p>
        </w:tc>
        <w:tc>
          <w:tcPr>
            <w:tcW w:w="1488" w:type="dxa"/>
            <w:vMerge/>
            <w:vAlign w:val="center"/>
          </w:tcPr>
          <w:p w14:paraId="140C458F" w14:textId="77777777" w:rsidR="00E233CA" w:rsidRPr="000C2F23" w:rsidRDefault="00E233CA" w:rsidP="006A4082">
            <w:pPr>
              <w:rPr>
                <w:rFonts w:ascii="Arial" w:hAnsi="Arial" w:cs="Arial"/>
                <w:sz w:val="18"/>
                <w:szCs w:val="18"/>
              </w:rPr>
            </w:pPr>
          </w:p>
        </w:tc>
        <w:tc>
          <w:tcPr>
            <w:tcW w:w="1489" w:type="dxa"/>
            <w:vMerge/>
          </w:tcPr>
          <w:p w14:paraId="140C4590" w14:textId="77777777" w:rsidR="00E233CA" w:rsidRPr="000C2F23" w:rsidRDefault="00E233CA" w:rsidP="006A4082">
            <w:pPr>
              <w:rPr>
                <w:rFonts w:ascii="Arial" w:hAnsi="Arial" w:cs="Arial"/>
                <w:sz w:val="18"/>
                <w:szCs w:val="18"/>
              </w:rPr>
            </w:pPr>
          </w:p>
        </w:tc>
      </w:tr>
      <w:tr w:rsidR="00E233CA" w14:paraId="140C459D" w14:textId="77777777" w:rsidTr="000C2F23">
        <w:trPr>
          <w:trHeight w:val="315"/>
        </w:trPr>
        <w:tc>
          <w:tcPr>
            <w:tcW w:w="885" w:type="dxa"/>
            <w:vMerge/>
            <w:shd w:val="clear" w:color="auto" w:fill="D9E2F3" w:themeFill="accent5" w:themeFillTint="33"/>
            <w:vAlign w:val="center"/>
          </w:tcPr>
          <w:p w14:paraId="140C4592" w14:textId="77777777" w:rsidR="00E233CA" w:rsidRPr="000C2F23" w:rsidRDefault="00E233CA" w:rsidP="006A4082">
            <w:pPr>
              <w:rPr>
                <w:rFonts w:ascii="Arial" w:eastAsia="Arial" w:hAnsi="Arial" w:cs="Arial"/>
                <w:color w:val="000000" w:themeColor="text1"/>
                <w:sz w:val="18"/>
                <w:szCs w:val="18"/>
              </w:rPr>
            </w:pPr>
          </w:p>
        </w:tc>
        <w:tc>
          <w:tcPr>
            <w:tcW w:w="805" w:type="dxa"/>
            <w:shd w:val="clear" w:color="auto" w:fill="D9E2F3" w:themeFill="accent5" w:themeFillTint="33"/>
            <w:vAlign w:val="center"/>
          </w:tcPr>
          <w:p w14:paraId="140C4593" w14:textId="77777777" w:rsidR="00E233CA" w:rsidRPr="000C2F23" w:rsidRDefault="00E233CA" w:rsidP="006A4082">
            <w:pPr>
              <w:rPr>
                <w:rFonts w:ascii="Arial" w:eastAsia="Arial" w:hAnsi="Arial" w:cs="Arial"/>
                <w:color w:val="000000" w:themeColor="text1"/>
                <w:sz w:val="18"/>
                <w:szCs w:val="18"/>
              </w:rPr>
            </w:pPr>
            <w:r>
              <w:rPr>
                <w:rFonts w:ascii="Arial" w:eastAsia="Arial" w:hAnsi="Arial" w:cs="Arial"/>
                <w:color w:val="000000" w:themeColor="text1"/>
                <w:sz w:val="18"/>
                <w:szCs w:val="18"/>
                <w:lang w:val="fr"/>
              </w:rPr>
              <w:t>Chiffres réels</w:t>
            </w:r>
          </w:p>
        </w:tc>
        <w:tc>
          <w:tcPr>
            <w:tcW w:w="805" w:type="dxa"/>
            <w:shd w:val="clear" w:color="auto" w:fill="D9E2F3" w:themeFill="accent5" w:themeFillTint="33"/>
            <w:vAlign w:val="center"/>
          </w:tcPr>
          <w:p w14:paraId="140C4594" w14:textId="77777777" w:rsidR="00E233CA" w:rsidRPr="000C2F23" w:rsidRDefault="00E233CA" w:rsidP="006A4082">
            <w:pPr>
              <w:rPr>
                <w:rFonts w:ascii="Arial" w:eastAsia="Arial" w:hAnsi="Arial" w:cs="Arial"/>
                <w:color w:val="000000" w:themeColor="text1"/>
                <w:sz w:val="18"/>
                <w:szCs w:val="18"/>
              </w:rPr>
            </w:pPr>
            <w:r>
              <w:rPr>
                <w:rFonts w:ascii="Arial" w:eastAsia="Arial" w:hAnsi="Arial" w:cs="Arial"/>
                <w:color w:val="000000" w:themeColor="text1"/>
                <w:sz w:val="18"/>
                <w:szCs w:val="18"/>
                <w:lang w:val="fr"/>
              </w:rPr>
              <w:t>Prévisionnels</w:t>
            </w:r>
          </w:p>
        </w:tc>
        <w:tc>
          <w:tcPr>
            <w:tcW w:w="805" w:type="dxa"/>
            <w:shd w:val="clear" w:color="auto" w:fill="D9E2F3" w:themeFill="accent5" w:themeFillTint="33"/>
            <w:vAlign w:val="center"/>
          </w:tcPr>
          <w:p w14:paraId="140C4595" w14:textId="77777777" w:rsidR="00E233CA" w:rsidRPr="000C2F23" w:rsidRDefault="00E233CA" w:rsidP="006A4082">
            <w:pPr>
              <w:rPr>
                <w:rFonts w:ascii="Arial" w:eastAsia="Arial" w:hAnsi="Arial" w:cs="Arial"/>
                <w:color w:val="000000" w:themeColor="text1"/>
                <w:sz w:val="18"/>
                <w:szCs w:val="18"/>
              </w:rPr>
            </w:pPr>
            <w:r>
              <w:rPr>
                <w:rFonts w:ascii="Arial" w:eastAsia="Arial" w:hAnsi="Arial" w:cs="Arial"/>
                <w:color w:val="000000" w:themeColor="text1"/>
                <w:sz w:val="18"/>
                <w:szCs w:val="18"/>
                <w:lang w:val="fr"/>
              </w:rPr>
              <w:t xml:space="preserve"> Budget</w:t>
            </w:r>
          </w:p>
        </w:tc>
        <w:tc>
          <w:tcPr>
            <w:tcW w:w="806" w:type="dxa"/>
            <w:vMerge/>
            <w:shd w:val="clear" w:color="auto" w:fill="D9E2F3" w:themeFill="accent5" w:themeFillTint="33"/>
            <w:vAlign w:val="center"/>
          </w:tcPr>
          <w:p w14:paraId="140C4596" w14:textId="77777777" w:rsidR="00E233CA" w:rsidRPr="000C2F23" w:rsidRDefault="00E233CA" w:rsidP="006A4082">
            <w:pPr>
              <w:rPr>
                <w:rFonts w:ascii="Arial" w:eastAsia="Arial" w:hAnsi="Arial" w:cs="Arial"/>
                <w:b/>
                <w:bCs/>
                <w:color w:val="000000" w:themeColor="text1"/>
                <w:sz w:val="18"/>
                <w:szCs w:val="18"/>
              </w:rPr>
            </w:pPr>
          </w:p>
        </w:tc>
        <w:tc>
          <w:tcPr>
            <w:tcW w:w="815" w:type="dxa"/>
            <w:shd w:val="clear" w:color="auto" w:fill="D9E2F3" w:themeFill="accent5" w:themeFillTint="33"/>
            <w:vAlign w:val="center"/>
          </w:tcPr>
          <w:p w14:paraId="140C4597" w14:textId="77777777" w:rsidR="00E233CA" w:rsidRPr="000C2F23" w:rsidRDefault="00E233CA" w:rsidP="006A4082">
            <w:pPr>
              <w:rPr>
                <w:rFonts w:ascii="Arial" w:eastAsia="Arial" w:hAnsi="Arial" w:cs="Arial"/>
                <w:color w:val="000000" w:themeColor="text1"/>
                <w:sz w:val="18"/>
                <w:szCs w:val="18"/>
              </w:rPr>
            </w:pPr>
            <w:r>
              <w:rPr>
                <w:rFonts w:ascii="Arial" w:eastAsia="Arial" w:hAnsi="Arial" w:cs="Arial"/>
                <w:color w:val="000000" w:themeColor="text1"/>
                <w:sz w:val="18"/>
                <w:szCs w:val="18"/>
                <w:lang w:val="fr"/>
              </w:rPr>
              <w:t>Budget</w:t>
            </w:r>
          </w:p>
        </w:tc>
        <w:tc>
          <w:tcPr>
            <w:tcW w:w="815" w:type="dxa"/>
            <w:shd w:val="clear" w:color="auto" w:fill="D9E2F3" w:themeFill="accent5" w:themeFillTint="33"/>
            <w:vAlign w:val="center"/>
          </w:tcPr>
          <w:p w14:paraId="140C4598" w14:textId="77777777" w:rsidR="00E233CA" w:rsidRPr="000C2F23" w:rsidRDefault="00E233CA" w:rsidP="006A4082">
            <w:pPr>
              <w:rPr>
                <w:rFonts w:ascii="Arial" w:eastAsia="Arial" w:hAnsi="Arial" w:cs="Arial"/>
                <w:color w:val="000000" w:themeColor="text1"/>
                <w:sz w:val="18"/>
                <w:szCs w:val="18"/>
              </w:rPr>
            </w:pPr>
            <w:r>
              <w:rPr>
                <w:rFonts w:ascii="Arial" w:eastAsia="Arial" w:hAnsi="Arial" w:cs="Arial"/>
                <w:color w:val="000000" w:themeColor="text1"/>
                <w:sz w:val="18"/>
                <w:szCs w:val="18"/>
                <w:lang w:val="fr"/>
              </w:rPr>
              <w:t>Budget</w:t>
            </w:r>
          </w:p>
        </w:tc>
        <w:tc>
          <w:tcPr>
            <w:tcW w:w="815" w:type="dxa"/>
            <w:shd w:val="clear" w:color="auto" w:fill="D9E2F3" w:themeFill="accent5" w:themeFillTint="33"/>
            <w:vAlign w:val="center"/>
          </w:tcPr>
          <w:p w14:paraId="140C4599" w14:textId="77777777" w:rsidR="00E233CA" w:rsidRPr="000C2F23" w:rsidRDefault="00E233CA" w:rsidP="006A4082">
            <w:pPr>
              <w:rPr>
                <w:rFonts w:ascii="Arial" w:eastAsia="Arial" w:hAnsi="Arial" w:cs="Arial"/>
                <w:color w:val="000000" w:themeColor="text1"/>
                <w:sz w:val="18"/>
                <w:szCs w:val="18"/>
              </w:rPr>
            </w:pPr>
            <w:r>
              <w:rPr>
                <w:rFonts w:ascii="Arial" w:eastAsia="Arial" w:hAnsi="Arial" w:cs="Arial"/>
                <w:color w:val="000000" w:themeColor="text1"/>
                <w:sz w:val="18"/>
                <w:szCs w:val="18"/>
                <w:lang w:val="fr"/>
              </w:rPr>
              <w:t>Budget</w:t>
            </w:r>
          </w:p>
        </w:tc>
        <w:tc>
          <w:tcPr>
            <w:tcW w:w="815" w:type="dxa"/>
            <w:vMerge/>
            <w:shd w:val="clear" w:color="auto" w:fill="D9E2F3" w:themeFill="accent5" w:themeFillTint="33"/>
            <w:vAlign w:val="center"/>
          </w:tcPr>
          <w:p w14:paraId="140C459A" w14:textId="77777777" w:rsidR="00E233CA" w:rsidRPr="000C2F23" w:rsidRDefault="00E233CA" w:rsidP="006A4082">
            <w:pPr>
              <w:rPr>
                <w:rFonts w:ascii="Arial" w:hAnsi="Arial" w:cs="Arial"/>
                <w:sz w:val="18"/>
                <w:szCs w:val="18"/>
              </w:rPr>
            </w:pPr>
          </w:p>
        </w:tc>
        <w:tc>
          <w:tcPr>
            <w:tcW w:w="1488" w:type="dxa"/>
            <w:vMerge/>
            <w:vAlign w:val="center"/>
          </w:tcPr>
          <w:p w14:paraId="140C459B" w14:textId="77777777" w:rsidR="00E233CA" w:rsidRPr="000C2F23" w:rsidRDefault="00E233CA" w:rsidP="006A4082">
            <w:pPr>
              <w:rPr>
                <w:rFonts w:ascii="Arial" w:hAnsi="Arial" w:cs="Arial"/>
                <w:sz w:val="18"/>
                <w:szCs w:val="18"/>
              </w:rPr>
            </w:pPr>
          </w:p>
        </w:tc>
        <w:tc>
          <w:tcPr>
            <w:tcW w:w="1489" w:type="dxa"/>
            <w:vMerge/>
          </w:tcPr>
          <w:p w14:paraId="140C459C" w14:textId="77777777" w:rsidR="00E233CA" w:rsidRPr="000C2F23" w:rsidRDefault="00E233CA" w:rsidP="006A4082">
            <w:pPr>
              <w:rPr>
                <w:rFonts w:ascii="Arial" w:hAnsi="Arial" w:cs="Arial"/>
                <w:sz w:val="18"/>
                <w:szCs w:val="18"/>
              </w:rPr>
            </w:pPr>
          </w:p>
        </w:tc>
      </w:tr>
      <w:tr w:rsidR="006D3278" w14:paraId="140C45A9" w14:textId="77777777" w:rsidTr="000C2F23">
        <w:trPr>
          <w:trHeight w:val="315"/>
        </w:trPr>
        <w:tc>
          <w:tcPr>
            <w:tcW w:w="885" w:type="dxa"/>
            <w:vAlign w:val="center"/>
          </w:tcPr>
          <w:p w14:paraId="140C459E" w14:textId="77777777" w:rsidR="006A4082" w:rsidRPr="000C2F23" w:rsidRDefault="006A4082" w:rsidP="006A4082">
            <w:pPr>
              <w:rPr>
                <w:rFonts w:ascii="Arial" w:eastAsia="Arial" w:hAnsi="Arial" w:cs="Arial"/>
                <w:sz w:val="18"/>
                <w:szCs w:val="18"/>
              </w:rPr>
            </w:pPr>
            <w:r>
              <w:rPr>
                <w:rFonts w:ascii="Arial" w:eastAsia="Arial" w:hAnsi="Arial" w:cs="Arial"/>
                <w:sz w:val="18"/>
                <w:szCs w:val="18"/>
                <w:lang w:val="fr"/>
              </w:rPr>
              <w:t xml:space="preserve">VIH </w:t>
            </w:r>
          </w:p>
        </w:tc>
        <w:tc>
          <w:tcPr>
            <w:tcW w:w="805" w:type="dxa"/>
            <w:vAlign w:val="center"/>
          </w:tcPr>
          <w:p w14:paraId="140C459F" w14:textId="77777777" w:rsidR="006A4082" w:rsidRPr="000C2F23" w:rsidRDefault="006A4082" w:rsidP="000C2F23">
            <w:pPr>
              <w:jc w:val="center"/>
              <w:rPr>
                <w:rFonts w:ascii="Arial" w:eastAsia="Arial" w:hAnsi="Arial" w:cs="Arial"/>
                <w:sz w:val="18"/>
                <w:szCs w:val="18"/>
              </w:rPr>
            </w:pPr>
          </w:p>
        </w:tc>
        <w:tc>
          <w:tcPr>
            <w:tcW w:w="805" w:type="dxa"/>
            <w:vAlign w:val="center"/>
          </w:tcPr>
          <w:p w14:paraId="140C45A0" w14:textId="77777777" w:rsidR="006A4082" w:rsidRPr="000C2F23" w:rsidRDefault="006A4082" w:rsidP="000C2F23">
            <w:pPr>
              <w:jc w:val="center"/>
              <w:rPr>
                <w:rFonts w:ascii="Arial" w:eastAsia="Arial" w:hAnsi="Arial" w:cs="Arial"/>
                <w:sz w:val="18"/>
                <w:szCs w:val="18"/>
              </w:rPr>
            </w:pPr>
          </w:p>
        </w:tc>
        <w:tc>
          <w:tcPr>
            <w:tcW w:w="805" w:type="dxa"/>
            <w:vAlign w:val="center"/>
          </w:tcPr>
          <w:p w14:paraId="140C45A1" w14:textId="77777777" w:rsidR="006A4082" w:rsidRPr="000C2F23" w:rsidRDefault="006A4082" w:rsidP="000C2F23">
            <w:pPr>
              <w:jc w:val="center"/>
              <w:rPr>
                <w:rFonts w:ascii="Arial" w:eastAsia="Arial" w:hAnsi="Arial" w:cs="Arial"/>
                <w:sz w:val="18"/>
                <w:szCs w:val="18"/>
              </w:rPr>
            </w:pPr>
          </w:p>
        </w:tc>
        <w:tc>
          <w:tcPr>
            <w:tcW w:w="806" w:type="dxa"/>
            <w:vAlign w:val="center"/>
          </w:tcPr>
          <w:p w14:paraId="140C45A2" w14:textId="77777777" w:rsidR="006A4082" w:rsidRPr="000C2F23" w:rsidRDefault="006A4082" w:rsidP="000C2F23">
            <w:pPr>
              <w:jc w:val="center"/>
              <w:rPr>
                <w:rFonts w:ascii="Arial" w:eastAsia="Arial" w:hAnsi="Arial" w:cs="Arial"/>
                <w:sz w:val="18"/>
                <w:szCs w:val="18"/>
              </w:rPr>
            </w:pPr>
          </w:p>
        </w:tc>
        <w:tc>
          <w:tcPr>
            <w:tcW w:w="815" w:type="dxa"/>
            <w:vAlign w:val="center"/>
          </w:tcPr>
          <w:p w14:paraId="140C45A3" w14:textId="77777777" w:rsidR="006A4082" w:rsidRPr="000C2F23" w:rsidRDefault="006A4082" w:rsidP="000C2F23">
            <w:pPr>
              <w:jc w:val="center"/>
              <w:rPr>
                <w:rFonts w:ascii="Arial" w:eastAsia="Arial" w:hAnsi="Arial" w:cs="Arial"/>
                <w:sz w:val="18"/>
                <w:szCs w:val="18"/>
              </w:rPr>
            </w:pPr>
          </w:p>
        </w:tc>
        <w:tc>
          <w:tcPr>
            <w:tcW w:w="815" w:type="dxa"/>
            <w:vAlign w:val="center"/>
          </w:tcPr>
          <w:p w14:paraId="140C45A4" w14:textId="77777777" w:rsidR="006A4082" w:rsidRPr="000C2F23" w:rsidRDefault="006A4082" w:rsidP="000C2F23">
            <w:pPr>
              <w:jc w:val="center"/>
              <w:rPr>
                <w:rFonts w:ascii="Arial" w:eastAsia="Arial" w:hAnsi="Arial" w:cs="Arial"/>
                <w:sz w:val="18"/>
                <w:szCs w:val="18"/>
              </w:rPr>
            </w:pPr>
          </w:p>
        </w:tc>
        <w:tc>
          <w:tcPr>
            <w:tcW w:w="815" w:type="dxa"/>
            <w:vAlign w:val="center"/>
          </w:tcPr>
          <w:p w14:paraId="140C45A5" w14:textId="77777777" w:rsidR="006A4082" w:rsidRPr="000C2F23" w:rsidRDefault="006A4082" w:rsidP="000C2F23">
            <w:pPr>
              <w:jc w:val="center"/>
              <w:rPr>
                <w:rFonts w:ascii="Arial" w:eastAsia="Arial" w:hAnsi="Arial" w:cs="Arial"/>
                <w:sz w:val="18"/>
                <w:szCs w:val="18"/>
              </w:rPr>
            </w:pPr>
          </w:p>
        </w:tc>
        <w:tc>
          <w:tcPr>
            <w:tcW w:w="815" w:type="dxa"/>
            <w:vAlign w:val="center"/>
          </w:tcPr>
          <w:p w14:paraId="140C45A6" w14:textId="77777777" w:rsidR="006A4082" w:rsidRPr="000C2F23" w:rsidRDefault="006A4082" w:rsidP="000C2F23">
            <w:pPr>
              <w:jc w:val="center"/>
              <w:rPr>
                <w:rFonts w:ascii="Arial" w:eastAsia="Arial" w:hAnsi="Arial" w:cs="Arial"/>
                <w:sz w:val="18"/>
                <w:szCs w:val="18"/>
              </w:rPr>
            </w:pPr>
          </w:p>
        </w:tc>
        <w:tc>
          <w:tcPr>
            <w:tcW w:w="1488" w:type="dxa"/>
            <w:vAlign w:val="center"/>
          </w:tcPr>
          <w:p w14:paraId="140C45A7" w14:textId="77777777" w:rsidR="006A4082" w:rsidRPr="000C2F23" w:rsidRDefault="006A4082" w:rsidP="000C2F23">
            <w:pPr>
              <w:jc w:val="center"/>
              <w:rPr>
                <w:rFonts w:ascii="Arial" w:eastAsia="Arial" w:hAnsi="Arial" w:cs="Arial"/>
                <w:sz w:val="18"/>
                <w:szCs w:val="18"/>
              </w:rPr>
            </w:pPr>
          </w:p>
        </w:tc>
        <w:tc>
          <w:tcPr>
            <w:tcW w:w="1489" w:type="dxa"/>
            <w:vAlign w:val="center"/>
          </w:tcPr>
          <w:p w14:paraId="140C45A8" w14:textId="77777777" w:rsidR="006A4082" w:rsidRPr="000C2F23" w:rsidRDefault="006A4082" w:rsidP="000C2F23">
            <w:pPr>
              <w:rPr>
                <w:rFonts w:ascii="Arial" w:eastAsia="Arial" w:hAnsi="Arial" w:cs="Arial"/>
                <w:sz w:val="18"/>
                <w:szCs w:val="18"/>
              </w:rPr>
            </w:pPr>
          </w:p>
        </w:tc>
      </w:tr>
      <w:tr w:rsidR="006D3278" w14:paraId="140C45B5" w14:textId="77777777" w:rsidTr="000C2F23">
        <w:trPr>
          <w:trHeight w:val="315"/>
        </w:trPr>
        <w:tc>
          <w:tcPr>
            <w:tcW w:w="885" w:type="dxa"/>
            <w:vAlign w:val="center"/>
          </w:tcPr>
          <w:p w14:paraId="140C45AA" w14:textId="77777777" w:rsidR="006A4082" w:rsidRPr="000C2F23" w:rsidRDefault="006A4082" w:rsidP="006A4082">
            <w:pPr>
              <w:rPr>
                <w:rFonts w:ascii="Arial" w:eastAsia="Arial" w:hAnsi="Arial" w:cs="Arial"/>
                <w:sz w:val="18"/>
                <w:szCs w:val="18"/>
              </w:rPr>
            </w:pPr>
            <w:r>
              <w:rPr>
                <w:rFonts w:ascii="Arial" w:eastAsia="Arial" w:hAnsi="Arial" w:cs="Arial"/>
                <w:sz w:val="18"/>
                <w:szCs w:val="18"/>
                <w:lang w:val="fr"/>
              </w:rPr>
              <w:t xml:space="preserve">Tuberculose </w:t>
            </w:r>
          </w:p>
        </w:tc>
        <w:tc>
          <w:tcPr>
            <w:tcW w:w="805" w:type="dxa"/>
            <w:vAlign w:val="center"/>
          </w:tcPr>
          <w:p w14:paraId="140C45AB" w14:textId="77777777" w:rsidR="006A4082" w:rsidRPr="000C2F23" w:rsidRDefault="006A4082" w:rsidP="000C2F23">
            <w:pPr>
              <w:jc w:val="center"/>
              <w:rPr>
                <w:rFonts w:ascii="Arial" w:eastAsia="Arial" w:hAnsi="Arial" w:cs="Arial"/>
                <w:sz w:val="18"/>
                <w:szCs w:val="18"/>
              </w:rPr>
            </w:pPr>
          </w:p>
        </w:tc>
        <w:tc>
          <w:tcPr>
            <w:tcW w:w="805" w:type="dxa"/>
            <w:vAlign w:val="center"/>
          </w:tcPr>
          <w:p w14:paraId="140C45AC" w14:textId="77777777" w:rsidR="006A4082" w:rsidRPr="000C2F23" w:rsidRDefault="006A4082" w:rsidP="000C2F23">
            <w:pPr>
              <w:jc w:val="center"/>
              <w:rPr>
                <w:rFonts w:ascii="Arial" w:eastAsia="Arial" w:hAnsi="Arial" w:cs="Arial"/>
                <w:sz w:val="18"/>
                <w:szCs w:val="18"/>
              </w:rPr>
            </w:pPr>
          </w:p>
        </w:tc>
        <w:tc>
          <w:tcPr>
            <w:tcW w:w="805" w:type="dxa"/>
            <w:vAlign w:val="center"/>
          </w:tcPr>
          <w:p w14:paraId="140C45AD" w14:textId="77777777" w:rsidR="006A4082" w:rsidRPr="000C2F23" w:rsidRDefault="006A4082" w:rsidP="000C2F23">
            <w:pPr>
              <w:jc w:val="center"/>
              <w:rPr>
                <w:rFonts w:ascii="Arial" w:eastAsia="Arial" w:hAnsi="Arial" w:cs="Arial"/>
                <w:sz w:val="18"/>
                <w:szCs w:val="18"/>
              </w:rPr>
            </w:pPr>
          </w:p>
        </w:tc>
        <w:tc>
          <w:tcPr>
            <w:tcW w:w="806" w:type="dxa"/>
            <w:vAlign w:val="center"/>
          </w:tcPr>
          <w:p w14:paraId="140C45AE" w14:textId="77777777" w:rsidR="006A4082" w:rsidRPr="000C2F23" w:rsidRDefault="006A4082" w:rsidP="000C2F23">
            <w:pPr>
              <w:jc w:val="center"/>
              <w:rPr>
                <w:rFonts w:ascii="Arial" w:eastAsia="Arial" w:hAnsi="Arial" w:cs="Arial"/>
                <w:sz w:val="18"/>
                <w:szCs w:val="18"/>
              </w:rPr>
            </w:pPr>
          </w:p>
        </w:tc>
        <w:tc>
          <w:tcPr>
            <w:tcW w:w="815" w:type="dxa"/>
            <w:vAlign w:val="center"/>
          </w:tcPr>
          <w:p w14:paraId="140C45AF" w14:textId="77777777" w:rsidR="006A4082" w:rsidRPr="000C2F23" w:rsidRDefault="006A4082" w:rsidP="000C2F23">
            <w:pPr>
              <w:jc w:val="center"/>
              <w:rPr>
                <w:rFonts w:ascii="Arial" w:eastAsia="Arial" w:hAnsi="Arial" w:cs="Arial"/>
                <w:sz w:val="18"/>
                <w:szCs w:val="18"/>
              </w:rPr>
            </w:pPr>
          </w:p>
        </w:tc>
        <w:tc>
          <w:tcPr>
            <w:tcW w:w="815" w:type="dxa"/>
            <w:vAlign w:val="center"/>
          </w:tcPr>
          <w:p w14:paraId="140C45B0" w14:textId="77777777" w:rsidR="006A4082" w:rsidRPr="000C2F23" w:rsidRDefault="006A4082" w:rsidP="000C2F23">
            <w:pPr>
              <w:jc w:val="center"/>
              <w:rPr>
                <w:rFonts w:ascii="Arial" w:eastAsia="Arial" w:hAnsi="Arial" w:cs="Arial"/>
                <w:sz w:val="18"/>
                <w:szCs w:val="18"/>
              </w:rPr>
            </w:pPr>
          </w:p>
        </w:tc>
        <w:tc>
          <w:tcPr>
            <w:tcW w:w="815" w:type="dxa"/>
            <w:vAlign w:val="center"/>
          </w:tcPr>
          <w:p w14:paraId="140C45B1" w14:textId="77777777" w:rsidR="006A4082" w:rsidRPr="000C2F23" w:rsidRDefault="006A4082" w:rsidP="000C2F23">
            <w:pPr>
              <w:jc w:val="center"/>
              <w:rPr>
                <w:rFonts w:ascii="Arial" w:eastAsia="Arial" w:hAnsi="Arial" w:cs="Arial"/>
                <w:sz w:val="18"/>
                <w:szCs w:val="18"/>
              </w:rPr>
            </w:pPr>
          </w:p>
        </w:tc>
        <w:tc>
          <w:tcPr>
            <w:tcW w:w="815" w:type="dxa"/>
            <w:vAlign w:val="center"/>
          </w:tcPr>
          <w:p w14:paraId="140C45B2" w14:textId="77777777" w:rsidR="006A4082" w:rsidRPr="000C2F23" w:rsidRDefault="006A4082" w:rsidP="000C2F23">
            <w:pPr>
              <w:jc w:val="center"/>
              <w:rPr>
                <w:rFonts w:ascii="Arial" w:eastAsia="Arial" w:hAnsi="Arial" w:cs="Arial"/>
                <w:sz w:val="18"/>
                <w:szCs w:val="18"/>
              </w:rPr>
            </w:pPr>
          </w:p>
        </w:tc>
        <w:tc>
          <w:tcPr>
            <w:tcW w:w="1488" w:type="dxa"/>
            <w:vAlign w:val="center"/>
          </w:tcPr>
          <w:p w14:paraId="140C45B3" w14:textId="77777777" w:rsidR="006A4082" w:rsidRPr="000C2F23" w:rsidRDefault="006A4082" w:rsidP="000C2F23">
            <w:pPr>
              <w:jc w:val="center"/>
              <w:rPr>
                <w:rFonts w:ascii="Arial" w:eastAsia="Arial" w:hAnsi="Arial" w:cs="Arial"/>
                <w:sz w:val="18"/>
                <w:szCs w:val="18"/>
              </w:rPr>
            </w:pPr>
          </w:p>
        </w:tc>
        <w:tc>
          <w:tcPr>
            <w:tcW w:w="1489" w:type="dxa"/>
            <w:vAlign w:val="center"/>
          </w:tcPr>
          <w:p w14:paraId="140C45B4" w14:textId="77777777" w:rsidR="006A4082" w:rsidRPr="000C2F23" w:rsidRDefault="006A4082" w:rsidP="000C2F23">
            <w:pPr>
              <w:rPr>
                <w:rFonts w:ascii="Arial" w:eastAsia="Arial" w:hAnsi="Arial" w:cs="Arial"/>
                <w:sz w:val="18"/>
                <w:szCs w:val="18"/>
              </w:rPr>
            </w:pPr>
          </w:p>
        </w:tc>
      </w:tr>
      <w:tr w:rsidR="006D3278" w14:paraId="140C45C1" w14:textId="77777777" w:rsidTr="000C2F23">
        <w:trPr>
          <w:trHeight w:val="315"/>
        </w:trPr>
        <w:tc>
          <w:tcPr>
            <w:tcW w:w="885" w:type="dxa"/>
            <w:vAlign w:val="center"/>
          </w:tcPr>
          <w:p w14:paraId="140C45B6" w14:textId="77777777" w:rsidR="006A4082" w:rsidRPr="000C2F23" w:rsidRDefault="006A4082" w:rsidP="006A4082">
            <w:pPr>
              <w:rPr>
                <w:rFonts w:ascii="Arial" w:eastAsia="Arial" w:hAnsi="Arial" w:cs="Arial"/>
                <w:sz w:val="18"/>
                <w:szCs w:val="18"/>
              </w:rPr>
            </w:pPr>
            <w:r>
              <w:rPr>
                <w:rFonts w:ascii="Arial" w:eastAsia="Arial" w:hAnsi="Arial" w:cs="Arial"/>
                <w:sz w:val="18"/>
                <w:szCs w:val="18"/>
                <w:lang w:val="fr"/>
              </w:rPr>
              <w:t xml:space="preserve">Paludisme </w:t>
            </w:r>
          </w:p>
        </w:tc>
        <w:tc>
          <w:tcPr>
            <w:tcW w:w="805" w:type="dxa"/>
            <w:vAlign w:val="center"/>
          </w:tcPr>
          <w:p w14:paraId="140C45B7" w14:textId="77777777" w:rsidR="006A4082" w:rsidRPr="000C2F23" w:rsidRDefault="006A4082" w:rsidP="000C2F23">
            <w:pPr>
              <w:jc w:val="center"/>
              <w:rPr>
                <w:rFonts w:ascii="Arial" w:eastAsia="Arial" w:hAnsi="Arial" w:cs="Arial"/>
                <w:sz w:val="18"/>
                <w:szCs w:val="18"/>
              </w:rPr>
            </w:pPr>
          </w:p>
        </w:tc>
        <w:tc>
          <w:tcPr>
            <w:tcW w:w="805" w:type="dxa"/>
            <w:vAlign w:val="center"/>
          </w:tcPr>
          <w:p w14:paraId="140C45B8" w14:textId="77777777" w:rsidR="006A4082" w:rsidRPr="000C2F23" w:rsidRDefault="006A4082" w:rsidP="000C2F23">
            <w:pPr>
              <w:jc w:val="center"/>
              <w:rPr>
                <w:rFonts w:ascii="Arial" w:eastAsia="Arial" w:hAnsi="Arial" w:cs="Arial"/>
                <w:sz w:val="18"/>
                <w:szCs w:val="18"/>
              </w:rPr>
            </w:pPr>
          </w:p>
        </w:tc>
        <w:tc>
          <w:tcPr>
            <w:tcW w:w="805" w:type="dxa"/>
            <w:vAlign w:val="center"/>
          </w:tcPr>
          <w:p w14:paraId="140C45B9" w14:textId="77777777" w:rsidR="006A4082" w:rsidRPr="000C2F23" w:rsidRDefault="006A4082" w:rsidP="000C2F23">
            <w:pPr>
              <w:jc w:val="center"/>
              <w:rPr>
                <w:rFonts w:ascii="Arial" w:eastAsia="Arial" w:hAnsi="Arial" w:cs="Arial"/>
                <w:sz w:val="18"/>
                <w:szCs w:val="18"/>
              </w:rPr>
            </w:pPr>
          </w:p>
        </w:tc>
        <w:tc>
          <w:tcPr>
            <w:tcW w:w="806" w:type="dxa"/>
            <w:vAlign w:val="center"/>
          </w:tcPr>
          <w:p w14:paraId="140C45BA" w14:textId="77777777" w:rsidR="006A4082" w:rsidRPr="000C2F23" w:rsidRDefault="006A4082" w:rsidP="000C2F23">
            <w:pPr>
              <w:jc w:val="center"/>
              <w:rPr>
                <w:rFonts w:ascii="Arial" w:eastAsia="Arial" w:hAnsi="Arial" w:cs="Arial"/>
                <w:sz w:val="18"/>
                <w:szCs w:val="18"/>
              </w:rPr>
            </w:pPr>
          </w:p>
        </w:tc>
        <w:tc>
          <w:tcPr>
            <w:tcW w:w="815" w:type="dxa"/>
            <w:vAlign w:val="center"/>
          </w:tcPr>
          <w:p w14:paraId="140C45BB" w14:textId="77777777" w:rsidR="006A4082" w:rsidRPr="000C2F23" w:rsidRDefault="006A4082" w:rsidP="000C2F23">
            <w:pPr>
              <w:jc w:val="center"/>
              <w:rPr>
                <w:rFonts w:ascii="Arial" w:eastAsia="Arial" w:hAnsi="Arial" w:cs="Arial"/>
                <w:sz w:val="18"/>
                <w:szCs w:val="18"/>
              </w:rPr>
            </w:pPr>
          </w:p>
        </w:tc>
        <w:tc>
          <w:tcPr>
            <w:tcW w:w="815" w:type="dxa"/>
            <w:vAlign w:val="center"/>
          </w:tcPr>
          <w:p w14:paraId="140C45BC" w14:textId="77777777" w:rsidR="006A4082" w:rsidRPr="000C2F23" w:rsidRDefault="006A4082" w:rsidP="000C2F23">
            <w:pPr>
              <w:jc w:val="center"/>
              <w:rPr>
                <w:rFonts w:ascii="Arial" w:eastAsia="Arial" w:hAnsi="Arial" w:cs="Arial"/>
                <w:sz w:val="18"/>
                <w:szCs w:val="18"/>
              </w:rPr>
            </w:pPr>
          </w:p>
        </w:tc>
        <w:tc>
          <w:tcPr>
            <w:tcW w:w="815" w:type="dxa"/>
            <w:vAlign w:val="center"/>
          </w:tcPr>
          <w:p w14:paraId="140C45BD" w14:textId="77777777" w:rsidR="006A4082" w:rsidRPr="000C2F23" w:rsidRDefault="006A4082" w:rsidP="000C2F23">
            <w:pPr>
              <w:jc w:val="center"/>
              <w:rPr>
                <w:rFonts w:ascii="Arial" w:eastAsia="Arial" w:hAnsi="Arial" w:cs="Arial"/>
                <w:sz w:val="18"/>
                <w:szCs w:val="18"/>
              </w:rPr>
            </w:pPr>
          </w:p>
        </w:tc>
        <w:tc>
          <w:tcPr>
            <w:tcW w:w="815" w:type="dxa"/>
            <w:vAlign w:val="center"/>
          </w:tcPr>
          <w:p w14:paraId="140C45BE" w14:textId="77777777" w:rsidR="006A4082" w:rsidRPr="000C2F23" w:rsidRDefault="006A4082" w:rsidP="000C2F23">
            <w:pPr>
              <w:jc w:val="center"/>
              <w:rPr>
                <w:rFonts w:ascii="Arial" w:eastAsia="Arial" w:hAnsi="Arial" w:cs="Arial"/>
                <w:sz w:val="18"/>
                <w:szCs w:val="18"/>
              </w:rPr>
            </w:pPr>
          </w:p>
        </w:tc>
        <w:tc>
          <w:tcPr>
            <w:tcW w:w="1488" w:type="dxa"/>
            <w:vAlign w:val="center"/>
          </w:tcPr>
          <w:p w14:paraId="140C45BF" w14:textId="77777777" w:rsidR="006A4082" w:rsidRPr="000C2F23" w:rsidRDefault="006A4082" w:rsidP="000C2F23">
            <w:pPr>
              <w:jc w:val="center"/>
              <w:rPr>
                <w:rFonts w:ascii="Arial" w:eastAsia="Arial" w:hAnsi="Arial" w:cs="Arial"/>
                <w:sz w:val="18"/>
                <w:szCs w:val="18"/>
              </w:rPr>
            </w:pPr>
          </w:p>
        </w:tc>
        <w:tc>
          <w:tcPr>
            <w:tcW w:w="1489" w:type="dxa"/>
            <w:vAlign w:val="center"/>
          </w:tcPr>
          <w:p w14:paraId="140C45C0" w14:textId="77777777" w:rsidR="006A4082" w:rsidRPr="000C2F23" w:rsidRDefault="006A4082" w:rsidP="000C2F23">
            <w:pPr>
              <w:rPr>
                <w:rFonts w:ascii="Arial" w:eastAsia="Arial" w:hAnsi="Arial" w:cs="Arial"/>
                <w:sz w:val="18"/>
                <w:szCs w:val="18"/>
              </w:rPr>
            </w:pPr>
          </w:p>
        </w:tc>
      </w:tr>
      <w:tr w:rsidR="006D3278" w:rsidRPr="00380990" w14:paraId="140C45CD" w14:textId="77777777" w:rsidTr="000C2F23">
        <w:trPr>
          <w:trHeight w:val="315"/>
        </w:trPr>
        <w:tc>
          <w:tcPr>
            <w:tcW w:w="885" w:type="dxa"/>
            <w:vAlign w:val="center"/>
          </w:tcPr>
          <w:p w14:paraId="140C45C2" w14:textId="77777777" w:rsidR="006A4082" w:rsidRPr="00555AD3" w:rsidRDefault="006A4082" w:rsidP="006A4082">
            <w:pPr>
              <w:rPr>
                <w:rFonts w:ascii="Arial" w:eastAsia="Arial" w:hAnsi="Arial" w:cs="Arial"/>
                <w:sz w:val="18"/>
                <w:szCs w:val="18"/>
                <w:lang w:val="fr-CH"/>
              </w:rPr>
            </w:pPr>
            <w:r>
              <w:rPr>
                <w:rFonts w:ascii="Arial" w:eastAsia="Arial" w:hAnsi="Arial" w:cs="Arial"/>
                <w:sz w:val="18"/>
                <w:szCs w:val="18"/>
                <w:lang w:val="fr"/>
              </w:rPr>
              <w:t xml:space="preserve">Systèmes résistants et pérennes pour la santé (SRPS) </w:t>
            </w:r>
          </w:p>
        </w:tc>
        <w:tc>
          <w:tcPr>
            <w:tcW w:w="805" w:type="dxa"/>
            <w:vAlign w:val="center"/>
          </w:tcPr>
          <w:p w14:paraId="140C45C3" w14:textId="77777777" w:rsidR="006A4082" w:rsidRPr="00555AD3" w:rsidRDefault="006A4082" w:rsidP="000C2F23">
            <w:pPr>
              <w:jc w:val="center"/>
              <w:rPr>
                <w:rFonts w:ascii="Arial" w:eastAsia="Arial" w:hAnsi="Arial" w:cs="Arial"/>
                <w:sz w:val="18"/>
                <w:szCs w:val="18"/>
                <w:lang w:val="fr-CH"/>
              </w:rPr>
            </w:pPr>
          </w:p>
        </w:tc>
        <w:tc>
          <w:tcPr>
            <w:tcW w:w="805" w:type="dxa"/>
            <w:vAlign w:val="center"/>
          </w:tcPr>
          <w:p w14:paraId="140C45C4" w14:textId="77777777" w:rsidR="006A4082" w:rsidRPr="00555AD3" w:rsidRDefault="006A4082" w:rsidP="000C2F23">
            <w:pPr>
              <w:jc w:val="center"/>
              <w:rPr>
                <w:rFonts w:ascii="Arial" w:eastAsia="Arial" w:hAnsi="Arial" w:cs="Arial"/>
                <w:sz w:val="18"/>
                <w:szCs w:val="18"/>
                <w:lang w:val="fr-CH"/>
              </w:rPr>
            </w:pPr>
          </w:p>
        </w:tc>
        <w:tc>
          <w:tcPr>
            <w:tcW w:w="805" w:type="dxa"/>
            <w:vAlign w:val="center"/>
          </w:tcPr>
          <w:p w14:paraId="140C45C5" w14:textId="77777777" w:rsidR="006A4082" w:rsidRPr="00555AD3" w:rsidRDefault="006A4082" w:rsidP="000C2F23">
            <w:pPr>
              <w:jc w:val="center"/>
              <w:rPr>
                <w:rFonts w:ascii="Arial" w:eastAsia="Arial" w:hAnsi="Arial" w:cs="Arial"/>
                <w:sz w:val="18"/>
                <w:szCs w:val="18"/>
                <w:lang w:val="fr-CH"/>
              </w:rPr>
            </w:pPr>
          </w:p>
        </w:tc>
        <w:tc>
          <w:tcPr>
            <w:tcW w:w="806" w:type="dxa"/>
            <w:vAlign w:val="center"/>
          </w:tcPr>
          <w:p w14:paraId="140C45C6" w14:textId="77777777" w:rsidR="006A4082" w:rsidRPr="00555AD3" w:rsidRDefault="006A4082" w:rsidP="000C2F23">
            <w:pPr>
              <w:jc w:val="center"/>
              <w:rPr>
                <w:rFonts w:ascii="Arial" w:eastAsia="Arial" w:hAnsi="Arial" w:cs="Arial"/>
                <w:sz w:val="18"/>
                <w:szCs w:val="18"/>
                <w:lang w:val="fr-CH"/>
              </w:rPr>
            </w:pPr>
          </w:p>
        </w:tc>
        <w:tc>
          <w:tcPr>
            <w:tcW w:w="815" w:type="dxa"/>
            <w:vAlign w:val="center"/>
          </w:tcPr>
          <w:p w14:paraId="140C45C7" w14:textId="77777777" w:rsidR="006A4082" w:rsidRPr="00555AD3" w:rsidRDefault="006A4082" w:rsidP="000C2F23">
            <w:pPr>
              <w:jc w:val="center"/>
              <w:rPr>
                <w:rFonts w:ascii="Arial" w:eastAsia="Arial" w:hAnsi="Arial" w:cs="Arial"/>
                <w:sz w:val="18"/>
                <w:szCs w:val="18"/>
                <w:lang w:val="fr-CH"/>
              </w:rPr>
            </w:pPr>
          </w:p>
        </w:tc>
        <w:tc>
          <w:tcPr>
            <w:tcW w:w="815" w:type="dxa"/>
            <w:vAlign w:val="center"/>
          </w:tcPr>
          <w:p w14:paraId="140C45C8" w14:textId="77777777" w:rsidR="006A4082" w:rsidRPr="00555AD3" w:rsidRDefault="006A4082" w:rsidP="000C2F23">
            <w:pPr>
              <w:jc w:val="center"/>
              <w:rPr>
                <w:rFonts w:ascii="Arial" w:eastAsia="Arial" w:hAnsi="Arial" w:cs="Arial"/>
                <w:sz w:val="18"/>
                <w:szCs w:val="18"/>
                <w:lang w:val="fr-CH"/>
              </w:rPr>
            </w:pPr>
          </w:p>
        </w:tc>
        <w:tc>
          <w:tcPr>
            <w:tcW w:w="815" w:type="dxa"/>
            <w:vAlign w:val="center"/>
          </w:tcPr>
          <w:p w14:paraId="140C45C9" w14:textId="77777777" w:rsidR="006A4082" w:rsidRPr="00555AD3" w:rsidRDefault="006A4082" w:rsidP="000C2F23">
            <w:pPr>
              <w:jc w:val="center"/>
              <w:rPr>
                <w:rFonts w:ascii="Arial" w:eastAsia="Arial" w:hAnsi="Arial" w:cs="Arial"/>
                <w:sz w:val="18"/>
                <w:szCs w:val="18"/>
                <w:lang w:val="fr-CH"/>
              </w:rPr>
            </w:pPr>
          </w:p>
        </w:tc>
        <w:tc>
          <w:tcPr>
            <w:tcW w:w="815" w:type="dxa"/>
            <w:vAlign w:val="center"/>
          </w:tcPr>
          <w:p w14:paraId="140C45CA" w14:textId="77777777" w:rsidR="006A4082" w:rsidRPr="00555AD3" w:rsidRDefault="006A4082" w:rsidP="000C2F23">
            <w:pPr>
              <w:jc w:val="center"/>
              <w:rPr>
                <w:rFonts w:ascii="Arial" w:eastAsia="Arial" w:hAnsi="Arial" w:cs="Arial"/>
                <w:sz w:val="18"/>
                <w:szCs w:val="18"/>
                <w:lang w:val="fr-CH"/>
              </w:rPr>
            </w:pPr>
          </w:p>
        </w:tc>
        <w:tc>
          <w:tcPr>
            <w:tcW w:w="1488" w:type="dxa"/>
            <w:vAlign w:val="center"/>
          </w:tcPr>
          <w:p w14:paraId="140C45CB" w14:textId="77777777" w:rsidR="006A4082" w:rsidRPr="00555AD3" w:rsidRDefault="006A4082" w:rsidP="000C2F23">
            <w:pPr>
              <w:jc w:val="center"/>
              <w:rPr>
                <w:rFonts w:ascii="Arial" w:eastAsia="Arial" w:hAnsi="Arial" w:cs="Arial"/>
                <w:sz w:val="18"/>
                <w:szCs w:val="18"/>
                <w:lang w:val="fr-CH"/>
              </w:rPr>
            </w:pPr>
          </w:p>
        </w:tc>
        <w:tc>
          <w:tcPr>
            <w:tcW w:w="1489" w:type="dxa"/>
            <w:vAlign w:val="center"/>
          </w:tcPr>
          <w:p w14:paraId="140C45CC" w14:textId="77777777" w:rsidR="006A4082" w:rsidRPr="00555AD3" w:rsidRDefault="006A4082" w:rsidP="000C2F23">
            <w:pPr>
              <w:rPr>
                <w:rFonts w:ascii="Arial" w:eastAsia="Arial" w:hAnsi="Arial" w:cs="Arial"/>
                <w:sz w:val="18"/>
                <w:szCs w:val="18"/>
                <w:lang w:val="fr-CH"/>
              </w:rPr>
            </w:pPr>
          </w:p>
        </w:tc>
      </w:tr>
      <w:tr w:rsidR="006D3278" w14:paraId="140C45D9" w14:textId="77777777" w:rsidTr="000C2F23">
        <w:trPr>
          <w:trHeight w:val="315"/>
        </w:trPr>
        <w:tc>
          <w:tcPr>
            <w:tcW w:w="885" w:type="dxa"/>
            <w:vAlign w:val="center"/>
          </w:tcPr>
          <w:p w14:paraId="140C45CE" w14:textId="77777777" w:rsidR="006A4082" w:rsidRPr="000C2F23" w:rsidRDefault="006A4082" w:rsidP="006A4082">
            <w:pPr>
              <w:rPr>
                <w:rFonts w:ascii="Arial" w:eastAsia="Arial" w:hAnsi="Arial" w:cs="Arial"/>
                <w:sz w:val="18"/>
                <w:szCs w:val="18"/>
              </w:rPr>
            </w:pPr>
            <w:r>
              <w:rPr>
                <w:rFonts w:ascii="Arial" w:eastAsia="Arial" w:hAnsi="Arial" w:cs="Arial"/>
                <w:b/>
                <w:bCs/>
                <w:sz w:val="18"/>
                <w:szCs w:val="18"/>
                <w:lang w:val="fr"/>
              </w:rPr>
              <w:t>Totaux</w:t>
            </w:r>
            <w:r>
              <w:rPr>
                <w:rFonts w:ascii="Arial" w:eastAsia="Arial" w:hAnsi="Arial" w:cs="Arial"/>
                <w:sz w:val="18"/>
                <w:szCs w:val="18"/>
                <w:lang w:val="fr"/>
              </w:rPr>
              <w:t xml:space="preserve"> </w:t>
            </w:r>
          </w:p>
        </w:tc>
        <w:tc>
          <w:tcPr>
            <w:tcW w:w="805" w:type="dxa"/>
            <w:vAlign w:val="center"/>
          </w:tcPr>
          <w:p w14:paraId="140C45CF" w14:textId="77777777" w:rsidR="006A4082" w:rsidRPr="000C2F23" w:rsidRDefault="006A4082" w:rsidP="000C2F23">
            <w:pPr>
              <w:jc w:val="center"/>
              <w:rPr>
                <w:rFonts w:ascii="Arial" w:eastAsia="Arial" w:hAnsi="Arial" w:cs="Arial"/>
                <w:sz w:val="18"/>
                <w:szCs w:val="18"/>
              </w:rPr>
            </w:pPr>
          </w:p>
        </w:tc>
        <w:tc>
          <w:tcPr>
            <w:tcW w:w="805" w:type="dxa"/>
            <w:vAlign w:val="center"/>
          </w:tcPr>
          <w:p w14:paraId="140C45D0" w14:textId="77777777" w:rsidR="006A4082" w:rsidRPr="000C2F23" w:rsidRDefault="006A4082" w:rsidP="000C2F23">
            <w:pPr>
              <w:jc w:val="center"/>
              <w:rPr>
                <w:rFonts w:ascii="Arial" w:eastAsia="Arial" w:hAnsi="Arial" w:cs="Arial"/>
                <w:sz w:val="18"/>
                <w:szCs w:val="18"/>
              </w:rPr>
            </w:pPr>
          </w:p>
        </w:tc>
        <w:tc>
          <w:tcPr>
            <w:tcW w:w="805" w:type="dxa"/>
            <w:vAlign w:val="center"/>
          </w:tcPr>
          <w:p w14:paraId="140C45D1" w14:textId="77777777" w:rsidR="006A4082" w:rsidRPr="000C2F23" w:rsidRDefault="006A4082" w:rsidP="000C2F23">
            <w:pPr>
              <w:jc w:val="center"/>
              <w:rPr>
                <w:rFonts w:ascii="Arial" w:eastAsia="Arial" w:hAnsi="Arial" w:cs="Arial"/>
                <w:sz w:val="18"/>
                <w:szCs w:val="18"/>
              </w:rPr>
            </w:pPr>
          </w:p>
        </w:tc>
        <w:tc>
          <w:tcPr>
            <w:tcW w:w="806" w:type="dxa"/>
            <w:vAlign w:val="center"/>
          </w:tcPr>
          <w:p w14:paraId="140C45D2" w14:textId="77777777" w:rsidR="006A4082" w:rsidRPr="000C2F23" w:rsidRDefault="006A4082" w:rsidP="000C2F23">
            <w:pPr>
              <w:jc w:val="center"/>
              <w:rPr>
                <w:rFonts w:ascii="Arial" w:eastAsia="Arial" w:hAnsi="Arial" w:cs="Arial"/>
                <w:sz w:val="18"/>
                <w:szCs w:val="18"/>
              </w:rPr>
            </w:pPr>
          </w:p>
        </w:tc>
        <w:tc>
          <w:tcPr>
            <w:tcW w:w="815" w:type="dxa"/>
            <w:vAlign w:val="center"/>
          </w:tcPr>
          <w:p w14:paraId="140C45D3" w14:textId="77777777" w:rsidR="006A4082" w:rsidRPr="000C2F23" w:rsidRDefault="006A4082" w:rsidP="000C2F23">
            <w:pPr>
              <w:jc w:val="center"/>
              <w:rPr>
                <w:rFonts w:ascii="Arial" w:eastAsia="Arial" w:hAnsi="Arial" w:cs="Arial"/>
                <w:sz w:val="18"/>
                <w:szCs w:val="18"/>
              </w:rPr>
            </w:pPr>
          </w:p>
        </w:tc>
        <w:tc>
          <w:tcPr>
            <w:tcW w:w="815" w:type="dxa"/>
            <w:vAlign w:val="center"/>
          </w:tcPr>
          <w:p w14:paraId="140C45D4" w14:textId="77777777" w:rsidR="006A4082" w:rsidRPr="000C2F23" w:rsidRDefault="006A4082" w:rsidP="000C2F23">
            <w:pPr>
              <w:jc w:val="center"/>
              <w:rPr>
                <w:rFonts w:ascii="Arial" w:eastAsia="Arial" w:hAnsi="Arial" w:cs="Arial"/>
                <w:sz w:val="18"/>
                <w:szCs w:val="18"/>
              </w:rPr>
            </w:pPr>
          </w:p>
        </w:tc>
        <w:tc>
          <w:tcPr>
            <w:tcW w:w="815" w:type="dxa"/>
            <w:vAlign w:val="center"/>
          </w:tcPr>
          <w:p w14:paraId="140C45D5" w14:textId="77777777" w:rsidR="006A4082" w:rsidRPr="000C2F23" w:rsidRDefault="006A4082" w:rsidP="000C2F23">
            <w:pPr>
              <w:jc w:val="center"/>
              <w:rPr>
                <w:rFonts w:ascii="Arial" w:eastAsia="Arial" w:hAnsi="Arial" w:cs="Arial"/>
                <w:sz w:val="18"/>
                <w:szCs w:val="18"/>
              </w:rPr>
            </w:pPr>
          </w:p>
        </w:tc>
        <w:tc>
          <w:tcPr>
            <w:tcW w:w="815" w:type="dxa"/>
            <w:vAlign w:val="center"/>
          </w:tcPr>
          <w:p w14:paraId="140C45D6" w14:textId="77777777" w:rsidR="006A4082" w:rsidRPr="000C2F23" w:rsidRDefault="006A4082" w:rsidP="000C2F23">
            <w:pPr>
              <w:jc w:val="center"/>
              <w:rPr>
                <w:rFonts w:ascii="Arial" w:eastAsia="Arial" w:hAnsi="Arial" w:cs="Arial"/>
                <w:sz w:val="18"/>
                <w:szCs w:val="18"/>
              </w:rPr>
            </w:pPr>
          </w:p>
        </w:tc>
        <w:tc>
          <w:tcPr>
            <w:tcW w:w="1488" w:type="dxa"/>
            <w:vAlign w:val="center"/>
          </w:tcPr>
          <w:p w14:paraId="140C45D7" w14:textId="77777777" w:rsidR="006A4082" w:rsidRPr="000C2F23" w:rsidRDefault="006A4082" w:rsidP="000C2F23">
            <w:pPr>
              <w:jc w:val="center"/>
              <w:rPr>
                <w:rFonts w:ascii="Arial" w:eastAsia="Arial" w:hAnsi="Arial" w:cs="Arial"/>
                <w:sz w:val="18"/>
                <w:szCs w:val="18"/>
              </w:rPr>
            </w:pPr>
          </w:p>
        </w:tc>
        <w:tc>
          <w:tcPr>
            <w:tcW w:w="1489" w:type="dxa"/>
            <w:vAlign w:val="center"/>
          </w:tcPr>
          <w:p w14:paraId="140C45D8" w14:textId="77777777" w:rsidR="006A4082" w:rsidRPr="000C2F23" w:rsidRDefault="006A4082" w:rsidP="000C2F23">
            <w:pPr>
              <w:rPr>
                <w:rFonts w:ascii="Arial" w:eastAsia="Arial" w:hAnsi="Arial" w:cs="Arial"/>
                <w:sz w:val="18"/>
                <w:szCs w:val="18"/>
              </w:rPr>
            </w:pPr>
          </w:p>
        </w:tc>
      </w:tr>
    </w:tbl>
    <w:p w14:paraId="140C45DA" w14:textId="77777777" w:rsidR="002E7ABE" w:rsidRDefault="002E7ABE" w:rsidP="3E1FCAEC">
      <w:pPr>
        <w:rPr>
          <w:rFonts w:ascii="Arial" w:eastAsia="Arial" w:hAnsi="Arial" w:cs="Arial"/>
        </w:rPr>
      </w:pPr>
    </w:p>
    <w:p w14:paraId="140C45DB" w14:textId="77777777" w:rsidR="2667F115" w:rsidRPr="00555AD3" w:rsidRDefault="002E7ABE" w:rsidP="3E1FCAEC">
      <w:pPr>
        <w:rPr>
          <w:rFonts w:ascii="Arial" w:eastAsia="Arial" w:hAnsi="Arial" w:cs="Arial"/>
          <w:lang w:val="fr-CH"/>
        </w:rPr>
      </w:pPr>
      <w:r>
        <w:rPr>
          <w:rFonts w:ascii="Arial" w:eastAsia="Arial" w:hAnsi="Arial" w:cs="Arial"/>
          <w:lang w:val="fr"/>
        </w:rPr>
        <w:t xml:space="preserve">Notes </w:t>
      </w:r>
      <w:r>
        <w:rPr>
          <w:rFonts w:ascii="Arial" w:eastAsia="Arial" w:hAnsi="Arial" w:cs="Arial"/>
          <w:highlight w:val="yellow"/>
          <w:lang w:val="fr"/>
        </w:rPr>
        <w:t>(y compris les taux de change hypothétiques et tout autre détail pertinent) :</w:t>
      </w:r>
      <w:r>
        <w:rPr>
          <w:rFonts w:ascii="Arial" w:eastAsia="Arial" w:hAnsi="Arial" w:cs="Arial"/>
          <w:lang w:val="fr"/>
        </w:rPr>
        <w:t xml:space="preserve"> </w:t>
      </w:r>
    </w:p>
    <w:p w14:paraId="140C45DC" w14:textId="77777777" w:rsidR="2667F115" w:rsidRPr="00555AD3" w:rsidRDefault="2667F115" w:rsidP="00426EB6">
      <w:pPr>
        <w:spacing w:line="242" w:lineRule="atLeast"/>
        <w:rPr>
          <w:rFonts w:ascii="Arial" w:eastAsia="Arial" w:hAnsi="Arial" w:cs="Arial"/>
          <w:lang w:val="fr-CH"/>
        </w:rPr>
      </w:pPr>
      <w:r>
        <w:rPr>
          <w:rFonts w:ascii="Arial" w:eastAsia="Arial" w:hAnsi="Arial" w:cs="Arial"/>
          <w:lang w:val="fr"/>
        </w:rPr>
        <w:t xml:space="preserve">  </w:t>
      </w:r>
    </w:p>
    <w:p w14:paraId="140C45DD" w14:textId="635D6245" w:rsidR="00A43C6B" w:rsidRPr="00555AD3" w:rsidRDefault="00A406A4" w:rsidP="00333D33">
      <w:pPr>
        <w:spacing w:line="242" w:lineRule="atLeast"/>
        <w:rPr>
          <w:rFonts w:ascii="Arial" w:eastAsia="Times New Roman" w:hAnsi="Arial" w:cs="Arial"/>
          <w:lang w:val="fr-CH"/>
        </w:rPr>
      </w:pPr>
      <w:r>
        <w:rPr>
          <w:rFonts w:ascii="Arial" w:eastAsia="Times New Roman" w:hAnsi="Arial" w:cs="Arial"/>
          <w:b/>
          <w:bCs/>
          <w:i/>
          <w:iCs/>
          <w:lang w:val="fr"/>
        </w:rPr>
        <w:t>1.3. Engagements programmatiques spécifiques.</w:t>
      </w:r>
      <w:r>
        <w:rPr>
          <w:rFonts w:ascii="Arial" w:eastAsia="Times New Roman" w:hAnsi="Arial" w:cs="Arial"/>
          <w:lang w:val="fr"/>
        </w:rPr>
        <w:t xml:space="preserve"> Nous nous engageons également à ce qu’une partie de nos dépenses nationales accrues au cours de la période d’allocation 2023-2025 soit consacrée à des activités et interventions spécifiques liées au VIH, à la tuberculose, au paludisme et aux SRPS. Pour chaque activité et intervention spécifiques, les montants totaux auxquels nous nous engageons au cours de la période d’allocation 2023-2025 dans ces domaines spécifiques sont indiqués dans le tableau ci-dessous.</w:t>
      </w:r>
    </w:p>
    <w:p w14:paraId="140C45DE" w14:textId="77777777" w:rsidR="00A43C6B" w:rsidRPr="00555AD3" w:rsidRDefault="00400325" w:rsidP="00A43C6B">
      <w:pPr>
        <w:spacing w:before="120" w:line="242" w:lineRule="atLeast"/>
        <w:rPr>
          <w:rFonts w:ascii="Arial" w:hAnsi="Arial" w:cs="Arial"/>
          <w:b/>
          <w:bCs/>
          <w:lang w:val="fr-CH"/>
        </w:rPr>
      </w:pPr>
      <w:r>
        <w:rPr>
          <w:rFonts w:ascii="Arial" w:hAnsi="Arial" w:cs="Arial"/>
          <w:b/>
          <w:bCs/>
          <w:lang w:val="fr"/>
        </w:rPr>
        <w:t xml:space="preserve">Engagements programmatiques spécifiques pour la période d’allocation 2023-2025 </w:t>
      </w:r>
    </w:p>
    <w:p w14:paraId="140C45DF" w14:textId="77777777" w:rsidR="00B46484" w:rsidRPr="00555AD3" w:rsidRDefault="00B46484" w:rsidP="00333D33">
      <w:pPr>
        <w:spacing w:line="242" w:lineRule="atLeast"/>
        <w:rPr>
          <w:rFonts w:ascii="Arial" w:eastAsia="Times New Roman" w:hAnsi="Arial" w:cs="Arial"/>
          <w:lang w:val="fr-CH"/>
        </w:rPr>
      </w:pPr>
    </w:p>
    <w:tbl>
      <w:tblPr>
        <w:tblStyle w:val="TableGrid"/>
        <w:tblW w:w="10435" w:type="dxa"/>
        <w:tblLayout w:type="fixed"/>
        <w:tblLook w:val="04A0" w:firstRow="1" w:lastRow="0" w:firstColumn="1" w:lastColumn="0" w:noHBand="0" w:noVBand="1"/>
      </w:tblPr>
      <w:tblGrid>
        <w:gridCol w:w="1165"/>
        <w:gridCol w:w="2790"/>
        <w:gridCol w:w="2250"/>
        <w:gridCol w:w="2430"/>
        <w:gridCol w:w="1800"/>
      </w:tblGrid>
      <w:tr w:rsidR="004C214E" w:rsidRPr="00380990" w14:paraId="140C45E5" w14:textId="77777777" w:rsidTr="004C214E">
        <w:trPr>
          <w:trHeight w:val="1052"/>
        </w:trPr>
        <w:tc>
          <w:tcPr>
            <w:tcW w:w="1165" w:type="dxa"/>
            <w:shd w:val="clear" w:color="auto" w:fill="D9E2F3" w:themeFill="accent5" w:themeFillTint="33"/>
          </w:tcPr>
          <w:p w14:paraId="140C45E0" w14:textId="77777777" w:rsidR="004C214E" w:rsidRPr="005E4CF7" w:rsidRDefault="004C214E" w:rsidP="006111C2">
            <w:pPr>
              <w:spacing w:line="242" w:lineRule="atLeast"/>
              <w:rPr>
                <w:rFonts w:ascii="Arial" w:eastAsia="Times New Roman" w:hAnsi="Arial" w:cs="Arial"/>
                <w:b/>
                <w:bCs/>
                <w:sz w:val="20"/>
                <w:szCs w:val="20"/>
              </w:rPr>
            </w:pPr>
            <w:r>
              <w:rPr>
                <w:rFonts w:ascii="Arial" w:eastAsia="Times New Roman" w:hAnsi="Arial" w:cs="Arial"/>
                <w:b/>
                <w:bCs/>
                <w:sz w:val="20"/>
                <w:szCs w:val="20"/>
                <w:lang w:val="fr"/>
              </w:rPr>
              <w:t>Programme</w:t>
            </w:r>
          </w:p>
        </w:tc>
        <w:tc>
          <w:tcPr>
            <w:tcW w:w="2790" w:type="dxa"/>
            <w:shd w:val="clear" w:color="auto" w:fill="D9E2F3" w:themeFill="accent5" w:themeFillTint="33"/>
          </w:tcPr>
          <w:p w14:paraId="140C45E1" w14:textId="77777777" w:rsidR="004C214E" w:rsidRPr="005E4CF7" w:rsidRDefault="004C214E" w:rsidP="006111C2">
            <w:pPr>
              <w:spacing w:line="242" w:lineRule="atLeast"/>
              <w:rPr>
                <w:rFonts w:ascii="Arial" w:eastAsia="Times New Roman" w:hAnsi="Arial" w:cs="Arial"/>
                <w:b/>
                <w:bCs/>
                <w:sz w:val="20"/>
                <w:szCs w:val="20"/>
              </w:rPr>
            </w:pPr>
            <w:r>
              <w:rPr>
                <w:rFonts w:ascii="Arial" w:eastAsia="Times New Roman" w:hAnsi="Arial" w:cs="Arial"/>
                <w:b/>
                <w:bCs/>
                <w:sz w:val="20"/>
                <w:szCs w:val="20"/>
                <w:lang w:val="fr"/>
              </w:rPr>
              <w:t>Intervention / activité</w:t>
            </w:r>
          </w:p>
        </w:tc>
        <w:tc>
          <w:tcPr>
            <w:tcW w:w="2250" w:type="dxa"/>
            <w:shd w:val="clear" w:color="auto" w:fill="D9E2F3" w:themeFill="accent5" w:themeFillTint="33"/>
          </w:tcPr>
          <w:p w14:paraId="140C45E2" w14:textId="77777777" w:rsidR="004C214E" w:rsidRPr="00555AD3" w:rsidRDefault="004C214E">
            <w:pPr>
              <w:spacing w:line="242" w:lineRule="atLeast"/>
              <w:jc w:val="center"/>
              <w:rPr>
                <w:rFonts w:ascii="Arial" w:eastAsia="Times New Roman" w:hAnsi="Arial" w:cs="Arial"/>
                <w:b/>
                <w:bCs/>
                <w:sz w:val="20"/>
                <w:szCs w:val="20"/>
                <w:lang w:val="fr-CH"/>
              </w:rPr>
            </w:pPr>
            <w:r>
              <w:rPr>
                <w:rFonts w:ascii="Arial" w:eastAsia="Times New Roman" w:hAnsi="Arial" w:cs="Arial"/>
                <w:b/>
                <w:bCs/>
                <w:sz w:val="20"/>
                <w:szCs w:val="20"/>
                <w:lang w:val="fr"/>
              </w:rPr>
              <w:t xml:space="preserve">Total des engagements de financement national pour la période d’allocation 2023-2025 de trois ans </w:t>
            </w:r>
            <w:r>
              <w:rPr>
                <w:rFonts w:ascii="Arial" w:eastAsia="Times New Roman" w:hAnsi="Arial" w:cs="Arial"/>
                <w:b/>
                <w:bCs/>
                <w:sz w:val="20"/>
                <w:szCs w:val="20"/>
                <w:highlight w:val="yellow"/>
                <w:lang w:val="fr"/>
              </w:rPr>
              <w:t>(USD/€)</w:t>
            </w:r>
          </w:p>
        </w:tc>
        <w:tc>
          <w:tcPr>
            <w:tcW w:w="2430" w:type="dxa"/>
            <w:shd w:val="clear" w:color="auto" w:fill="D9E2F3" w:themeFill="accent5" w:themeFillTint="33"/>
          </w:tcPr>
          <w:p w14:paraId="140C45E3" w14:textId="77777777" w:rsidR="004C214E" w:rsidRPr="00555AD3" w:rsidRDefault="004C214E">
            <w:pPr>
              <w:spacing w:line="242" w:lineRule="atLeast"/>
              <w:jc w:val="center"/>
              <w:rPr>
                <w:rFonts w:ascii="Arial" w:eastAsia="Times New Roman" w:hAnsi="Arial" w:cs="Arial"/>
                <w:b/>
                <w:bCs/>
                <w:sz w:val="20"/>
                <w:szCs w:val="20"/>
                <w:lang w:val="fr-CH"/>
              </w:rPr>
            </w:pPr>
            <w:r>
              <w:rPr>
                <w:rFonts w:ascii="Arial" w:eastAsia="Times New Roman" w:hAnsi="Arial" w:cs="Arial"/>
                <w:b/>
                <w:bCs/>
                <w:sz w:val="20"/>
                <w:szCs w:val="20"/>
                <w:lang w:val="fr"/>
              </w:rPr>
              <w:t xml:space="preserve">Engagements supplémentaires pour la période d’allocation 2023-2025 excédant le montant de la période d’allocation 2020-2022 </w:t>
            </w:r>
            <w:r>
              <w:rPr>
                <w:rFonts w:ascii="Arial" w:eastAsia="Times New Roman" w:hAnsi="Arial" w:cs="Arial"/>
                <w:b/>
                <w:bCs/>
                <w:sz w:val="20"/>
                <w:szCs w:val="20"/>
                <w:highlight w:val="yellow"/>
                <w:lang w:val="fr"/>
              </w:rPr>
              <w:t>(USD/€)</w:t>
            </w:r>
          </w:p>
        </w:tc>
        <w:tc>
          <w:tcPr>
            <w:tcW w:w="1800" w:type="dxa"/>
            <w:shd w:val="clear" w:color="auto" w:fill="D9E2F3" w:themeFill="accent5" w:themeFillTint="33"/>
          </w:tcPr>
          <w:p w14:paraId="140C45E4" w14:textId="77777777" w:rsidR="004C214E" w:rsidRPr="00555AD3" w:rsidRDefault="004C214E">
            <w:pPr>
              <w:spacing w:line="242" w:lineRule="atLeast"/>
              <w:jc w:val="center"/>
              <w:rPr>
                <w:rFonts w:ascii="Arial" w:eastAsia="Times New Roman" w:hAnsi="Arial" w:cs="Arial"/>
                <w:b/>
                <w:bCs/>
                <w:sz w:val="20"/>
                <w:szCs w:val="20"/>
                <w:lang w:val="fr-CH"/>
              </w:rPr>
            </w:pPr>
            <w:r>
              <w:rPr>
                <w:rFonts w:ascii="Arial" w:eastAsia="Times New Roman" w:hAnsi="Arial" w:cs="Arial"/>
                <w:b/>
                <w:bCs/>
                <w:sz w:val="20"/>
                <w:szCs w:val="20"/>
                <w:lang w:val="fr"/>
              </w:rPr>
              <w:t>Source des données pour la surveillance et la vérification</w:t>
            </w:r>
          </w:p>
        </w:tc>
      </w:tr>
      <w:tr w:rsidR="004C214E" w:rsidRPr="005E4CF7" w14:paraId="140C45EB" w14:textId="77777777" w:rsidTr="004C214E">
        <w:tc>
          <w:tcPr>
            <w:tcW w:w="1165" w:type="dxa"/>
            <w:vMerge w:val="restart"/>
          </w:tcPr>
          <w:p w14:paraId="140C45E6" w14:textId="77777777" w:rsidR="004C214E" w:rsidRPr="005E4CF7" w:rsidRDefault="004C214E">
            <w:pPr>
              <w:spacing w:line="242" w:lineRule="atLeast"/>
              <w:rPr>
                <w:rFonts w:ascii="Arial" w:eastAsia="Times New Roman" w:hAnsi="Arial" w:cs="Arial"/>
                <w:sz w:val="20"/>
                <w:szCs w:val="20"/>
              </w:rPr>
            </w:pPr>
            <w:r>
              <w:rPr>
                <w:rFonts w:ascii="Arial" w:eastAsia="Times New Roman" w:hAnsi="Arial" w:cs="Arial"/>
                <w:sz w:val="20"/>
                <w:szCs w:val="20"/>
                <w:lang w:val="fr"/>
              </w:rPr>
              <w:t>VIH</w:t>
            </w:r>
          </w:p>
        </w:tc>
        <w:tc>
          <w:tcPr>
            <w:tcW w:w="2790" w:type="dxa"/>
          </w:tcPr>
          <w:p w14:paraId="140C45E7" w14:textId="77777777" w:rsidR="004C214E" w:rsidRPr="003C05B9" w:rsidRDefault="004C214E">
            <w:pPr>
              <w:spacing w:line="242" w:lineRule="atLeast"/>
              <w:rPr>
                <w:rFonts w:ascii="Arial" w:eastAsia="Times New Roman" w:hAnsi="Arial" w:cs="Arial"/>
                <w:i/>
                <w:iCs/>
                <w:sz w:val="20"/>
                <w:szCs w:val="20"/>
              </w:rPr>
            </w:pPr>
          </w:p>
        </w:tc>
        <w:tc>
          <w:tcPr>
            <w:tcW w:w="2250" w:type="dxa"/>
          </w:tcPr>
          <w:p w14:paraId="140C45E8" w14:textId="77777777" w:rsidR="004C214E" w:rsidRPr="005E4CF7" w:rsidRDefault="004C214E">
            <w:pPr>
              <w:spacing w:line="242" w:lineRule="atLeast"/>
              <w:rPr>
                <w:rFonts w:ascii="Arial" w:eastAsia="Times New Roman" w:hAnsi="Arial" w:cs="Arial"/>
                <w:sz w:val="20"/>
                <w:szCs w:val="20"/>
              </w:rPr>
            </w:pPr>
          </w:p>
        </w:tc>
        <w:tc>
          <w:tcPr>
            <w:tcW w:w="2430" w:type="dxa"/>
          </w:tcPr>
          <w:p w14:paraId="140C45E9" w14:textId="77777777" w:rsidR="004C214E" w:rsidRPr="005E4CF7" w:rsidRDefault="004C214E" w:rsidP="004B4E4D">
            <w:pPr>
              <w:spacing w:line="242" w:lineRule="atLeast"/>
              <w:jc w:val="right"/>
              <w:rPr>
                <w:rFonts w:ascii="Arial" w:eastAsia="Times New Roman" w:hAnsi="Arial" w:cs="Arial"/>
                <w:sz w:val="20"/>
                <w:szCs w:val="20"/>
              </w:rPr>
            </w:pPr>
          </w:p>
        </w:tc>
        <w:tc>
          <w:tcPr>
            <w:tcW w:w="1800" w:type="dxa"/>
          </w:tcPr>
          <w:p w14:paraId="140C45EA" w14:textId="77777777" w:rsidR="004C214E" w:rsidRPr="005E4CF7" w:rsidRDefault="004C214E">
            <w:pPr>
              <w:spacing w:line="242" w:lineRule="atLeast"/>
              <w:rPr>
                <w:rFonts w:ascii="Arial" w:eastAsia="Times New Roman" w:hAnsi="Arial" w:cs="Arial"/>
                <w:sz w:val="20"/>
                <w:szCs w:val="20"/>
              </w:rPr>
            </w:pPr>
          </w:p>
        </w:tc>
      </w:tr>
      <w:tr w:rsidR="004C214E" w:rsidRPr="005E4CF7" w14:paraId="140C45F1" w14:textId="77777777" w:rsidTr="004C214E">
        <w:tc>
          <w:tcPr>
            <w:tcW w:w="1165" w:type="dxa"/>
            <w:vMerge/>
          </w:tcPr>
          <w:p w14:paraId="140C45EC" w14:textId="77777777" w:rsidR="004C214E" w:rsidRPr="005E4CF7" w:rsidRDefault="004C214E">
            <w:pPr>
              <w:spacing w:line="242" w:lineRule="atLeast"/>
              <w:rPr>
                <w:rFonts w:ascii="Arial" w:eastAsia="Times New Roman" w:hAnsi="Arial" w:cs="Arial"/>
                <w:sz w:val="20"/>
                <w:szCs w:val="20"/>
              </w:rPr>
            </w:pPr>
          </w:p>
        </w:tc>
        <w:tc>
          <w:tcPr>
            <w:tcW w:w="2790" w:type="dxa"/>
          </w:tcPr>
          <w:p w14:paraId="140C45ED" w14:textId="77777777" w:rsidR="004C214E" w:rsidRPr="005E4CF7" w:rsidRDefault="004C214E">
            <w:pPr>
              <w:spacing w:line="242" w:lineRule="atLeast"/>
              <w:rPr>
                <w:rFonts w:ascii="Arial" w:eastAsia="Times New Roman" w:hAnsi="Arial" w:cs="Arial"/>
                <w:sz w:val="20"/>
                <w:szCs w:val="20"/>
              </w:rPr>
            </w:pPr>
          </w:p>
        </w:tc>
        <w:tc>
          <w:tcPr>
            <w:tcW w:w="2250" w:type="dxa"/>
          </w:tcPr>
          <w:p w14:paraId="140C45EE" w14:textId="77777777" w:rsidR="004C214E" w:rsidRPr="005E4CF7" w:rsidRDefault="004C214E">
            <w:pPr>
              <w:spacing w:line="242" w:lineRule="atLeast"/>
              <w:rPr>
                <w:rFonts w:ascii="Arial" w:eastAsia="Times New Roman" w:hAnsi="Arial" w:cs="Arial"/>
                <w:sz w:val="20"/>
                <w:szCs w:val="20"/>
              </w:rPr>
            </w:pPr>
          </w:p>
        </w:tc>
        <w:tc>
          <w:tcPr>
            <w:tcW w:w="2430" w:type="dxa"/>
          </w:tcPr>
          <w:p w14:paraId="140C45EF" w14:textId="77777777" w:rsidR="004C214E" w:rsidRPr="005E4CF7" w:rsidRDefault="004C214E">
            <w:pPr>
              <w:spacing w:line="242" w:lineRule="atLeast"/>
              <w:rPr>
                <w:rFonts w:ascii="Arial" w:eastAsia="Times New Roman" w:hAnsi="Arial" w:cs="Arial"/>
                <w:sz w:val="20"/>
                <w:szCs w:val="20"/>
              </w:rPr>
            </w:pPr>
          </w:p>
        </w:tc>
        <w:tc>
          <w:tcPr>
            <w:tcW w:w="1800" w:type="dxa"/>
          </w:tcPr>
          <w:p w14:paraId="140C45F0" w14:textId="77777777" w:rsidR="004C214E" w:rsidRPr="005E4CF7" w:rsidRDefault="004C214E">
            <w:pPr>
              <w:spacing w:line="242" w:lineRule="atLeast"/>
              <w:rPr>
                <w:rFonts w:ascii="Arial" w:eastAsia="Times New Roman" w:hAnsi="Arial" w:cs="Arial"/>
                <w:sz w:val="20"/>
                <w:szCs w:val="20"/>
              </w:rPr>
            </w:pPr>
          </w:p>
        </w:tc>
      </w:tr>
      <w:tr w:rsidR="004C214E" w:rsidRPr="005E4CF7" w14:paraId="140C45F7" w14:textId="77777777" w:rsidTr="004C214E">
        <w:tc>
          <w:tcPr>
            <w:tcW w:w="1165" w:type="dxa"/>
            <w:vMerge/>
          </w:tcPr>
          <w:p w14:paraId="140C45F2" w14:textId="77777777" w:rsidR="004C214E" w:rsidRPr="005E4CF7" w:rsidRDefault="004C214E">
            <w:pPr>
              <w:spacing w:line="242" w:lineRule="atLeast"/>
              <w:rPr>
                <w:rFonts w:ascii="Arial" w:eastAsia="Times New Roman" w:hAnsi="Arial" w:cs="Arial"/>
                <w:sz w:val="20"/>
                <w:szCs w:val="20"/>
              </w:rPr>
            </w:pPr>
          </w:p>
        </w:tc>
        <w:tc>
          <w:tcPr>
            <w:tcW w:w="2790" w:type="dxa"/>
          </w:tcPr>
          <w:p w14:paraId="140C45F3" w14:textId="77777777" w:rsidR="004C214E" w:rsidRPr="005E4CF7" w:rsidRDefault="004C214E">
            <w:pPr>
              <w:spacing w:line="242" w:lineRule="atLeast"/>
              <w:rPr>
                <w:rFonts w:ascii="Arial" w:eastAsia="Times New Roman" w:hAnsi="Arial" w:cs="Arial"/>
                <w:sz w:val="20"/>
                <w:szCs w:val="20"/>
              </w:rPr>
            </w:pPr>
          </w:p>
        </w:tc>
        <w:tc>
          <w:tcPr>
            <w:tcW w:w="2250" w:type="dxa"/>
          </w:tcPr>
          <w:p w14:paraId="140C45F4" w14:textId="77777777" w:rsidR="004C214E" w:rsidRPr="005E4CF7" w:rsidRDefault="004C214E">
            <w:pPr>
              <w:spacing w:line="242" w:lineRule="atLeast"/>
              <w:rPr>
                <w:rFonts w:ascii="Arial" w:eastAsia="Times New Roman" w:hAnsi="Arial" w:cs="Arial"/>
                <w:sz w:val="20"/>
                <w:szCs w:val="20"/>
              </w:rPr>
            </w:pPr>
          </w:p>
        </w:tc>
        <w:tc>
          <w:tcPr>
            <w:tcW w:w="2430" w:type="dxa"/>
          </w:tcPr>
          <w:p w14:paraId="140C45F5" w14:textId="77777777" w:rsidR="004C214E" w:rsidRPr="005E4CF7" w:rsidRDefault="004C214E">
            <w:pPr>
              <w:spacing w:line="242" w:lineRule="atLeast"/>
              <w:rPr>
                <w:rFonts w:ascii="Arial" w:eastAsia="Times New Roman" w:hAnsi="Arial" w:cs="Arial"/>
                <w:sz w:val="20"/>
                <w:szCs w:val="20"/>
              </w:rPr>
            </w:pPr>
          </w:p>
        </w:tc>
        <w:tc>
          <w:tcPr>
            <w:tcW w:w="1800" w:type="dxa"/>
          </w:tcPr>
          <w:p w14:paraId="140C45F6" w14:textId="77777777" w:rsidR="004C214E" w:rsidRPr="005E4CF7" w:rsidRDefault="004C214E">
            <w:pPr>
              <w:spacing w:line="242" w:lineRule="atLeast"/>
              <w:rPr>
                <w:rFonts w:ascii="Arial" w:eastAsia="Times New Roman" w:hAnsi="Arial" w:cs="Arial"/>
                <w:sz w:val="20"/>
                <w:szCs w:val="20"/>
              </w:rPr>
            </w:pPr>
          </w:p>
        </w:tc>
      </w:tr>
      <w:tr w:rsidR="004C214E" w:rsidRPr="005E4CF7" w14:paraId="140C45FD" w14:textId="77777777" w:rsidTr="004C214E">
        <w:tc>
          <w:tcPr>
            <w:tcW w:w="1165" w:type="dxa"/>
            <w:vMerge w:val="restart"/>
          </w:tcPr>
          <w:p w14:paraId="140C45F8" w14:textId="77777777" w:rsidR="004C214E" w:rsidRPr="005E4CF7" w:rsidRDefault="004C214E">
            <w:pPr>
              <w:spacing w:line="242" w:lineRule="atLeast"/>
              <w:rPr>
                <w:rFonts w:ascii="Arial" w:eastAsia="Times New Roman" w:hAnsi="Arial" w:cs="Arial"/>
                <w:sz w:val="20"/>
                <w:szCs w:val="20"/>
              </w:rPr>
            </w:pPr>
            <w:r>
              <w:rPr>
                <w:rFonts w:ascii="Arial" w:eastAsia="Times New Roman" w:hAnsi="Arial" w:cs="Arial"/>
                <w:sz w:val="20"/>
                <w:szCs w:val="20"/>
                <w:lang w:val="fr"/>
              </w:rPr>
              <w:t>Tuberculose</w:t>
            </w:r>
          </w:p>
        </w:tc>
        <w:tc>
          <w:tcPr>
            <w:tcW w:w="2790" w:type="dxa"/>
          </w:tcPr>
          <w:p w14:paraId="140C45F9" w14:textId="77777777" w:rsidR="004C214E" w:rsidRPr="005E4CF7" w:rsidRDefault="004C214E">
            <w:pPr>
              <w:spacing w:line="242" w:lineRule="atLeast"/>
              <w:rPr>
                <w:rFonts w:ascii="Arial" w:eastAsia="Times New Roman" w:hAnsi="Arial" w:cs="Arial"/>
                <w:sz w:val="20"/>
                <w:szCs w:val="20"/>
              </w:rPr>
            </w:pPr>
          </w:p>
        </w:tc>
        <w:tc>
          <w:tcPr>
            <w:tcW w:w="2250" w:type="dxa"/>
          </w:tcPr>
          <w:p w14:paraId="140C45FA" w14:textId="77777777" w:rsidR="004C214E" w:rsidRPr="005E4CF7" w:rsidRDefault="004C214E">
            <w:pPr>
              <w:spacing w:line="242" w:lineRule="atLeast"/>
              <w:rPr>
                <w:rFonts w:ascii="Arial" w:eastAsia="Times New Roman" w:hAnsi="Arial" w:cs="Arial"/>
                <w:sz w:val="20"/>
                <w:szCs w:val="20"/>
              </w:rPr>
            </w:pPr>
          </w:p>
        </w:tc>
        <w:tc>
          <w:tcPr>
            <w:tcW w:w="2430" w:type="dxa"/>
          </w:tcPr>
          <w:p w14:paraId="140C45FB" w14:textId="77777777" w:rsidR="004C214E" w:rsidRPr="005E4CF7" w:rsidRDefault="004C214E">
            <w:pPr>
              <w:spacing w:line="242" w:lineRule="atLeast"/>
              <w:rPr>
                <w:rFonts w:ascii="Arial" w:eastAsia="Times New Roman" w:hAnsi="Arial" w:cs="Arial"/>
                <w:sz w:val="20"/>
                <w:szCs w:val="20"/>
              </w:rPr>
            </w:pPr>
          </w:p>
        </w:tc>
        <w:tc>
          <w:tcPr>
            <w:tcW w:w="1800" w:type="dxa"/>
          </w:tcPr>
          <w:p w14:paraId="140C45FC" w14:textId="77777777" w:rsidR="004C214E" w:rsidRPr="005E4CF7" w:rsidRDefault="004C214E">
            <w:pPr>
              <w:spacing w:line="242" w:lineRule="atLeast"/>
              <w:rPr>
                <w:rFonts w:ascii="Arial" w:eastAsia="Times New Roman" w:hAnsi="Arial" w:cs="Arial"/>
                <w:sz w:val="20"/>
                <w:szCs w:val="20"/>
              </w:rPr>
            </w:pPr>
          </w:p>
        </w:tc>
      </w:tr>
      <w:tr w:rsidR="004C214E" w:rsidRPr="005E4CF7" w14:paraId="140C4603" w14:textId="77777777" w:rsidTr="004C214E">
        <w:tc>
          <w:tcPr>
            <w:tcW w:w="1165" w:type="dxa"/>
            <w:vMerge/>
          </w:tcPr>
          <w:p w14:paraId="140C45FE" w14:textId="77777777" w:rsidR="004C214E" w:rsidRPr="005E4CF7" w:rsidRDefault="004C214E">
            <w:pPr>
              <w:spacing w:line="242" w:lineRule="atLeast"/>
              <w:rPr>
                <w:rFonts w:ascii="Arial" w:eastAsia="Times New Roman" w:hAnsi="Arial" w:cs="Arial"/>
                <w:sz w:val="20"/>
                <w:szCs w:val="20"/>
              </w:rPr>
            </w:pPr>
          </w:p>
        </w:tc>
        <w:tc>
          <w:tcPr>
            <w:tcW w:w="2790" w:type="dxa"/>
          </w:tcPr>
          <w:p w14:paraId="140C45FF" w14:textId="77777777" w:rsidR="004C214E" w:rsidRPr="005E4CF7" w:rsidRDefault="004C214E">
            <w:pPr>
              <w:spacing w:line="242" w:lineRule="atLeast"/>
              <w:rPr>
                <w:rFonts w:ascii="Arial" w:eastAsia="Times New Roman" w:hAnsi="Arial" w:cs="Arial"/>
                <w:sz w:val="20"/>
                <w:szCs w:val="20"/>
              </w:rPr>
            </w:pPr>
          </w:p>
        </w:tc>
        <w:tc>
          <w:tcPr>
            <w:tcW w:w="2250" w:type="dxa"/>
          </w:tcPr>
          <w:p w14:paraId="140C4600" w14:textId="77777777" w:rsidR="004C214E" w:rsidRPr="005E4CF7" w:rsidRDefault="004C214E">
            <w:pPr>
              <w:spacing w:line="242" w:lineRule="atLeast"/>
              <w:rPr>
                <w:rFonts w:ascii="Arial" w:eastAsia="Times New Roman" w:hAnsi="Arial" w:cs="Arial"/>
                <w:sz w:val="20"/>
                <w:szCs w:val="20"/>
              </w:rPr>
            </w:pPr>
          </w:p>
        </w:tc>
        <w:tc>
          <w:tcPr>
            <w:tcW w:w="2430" w:type="dxa"/>
          </w:tcPr>
          <w:p w14:paraId="140C4601" w14:textId="77777777" w:rsidR="004C214E" w:rsidRPr="005E4CF7" w:rsidRDefault="004C214E">
            <w:pPr>
              <w:spacing w:line="242" w:lineRule="atLeast"/>
              <w:rPr>
                <w:rFonts w:ascii="Arial" w:eastAsia="Times New Roman" w:hAnsi="Arial" w:cs="Arial"/>
                <w:sz w:val="20"/>
                <w:szCs w:val="20"/>
              </w:rPr>
            </w:pPr>
          </w:p>
        </w:tc>
        <w:tc>
          <w:tcPr>
            <w:tcW w:w="1800" w:type="dxa"/>
          </w:tcPr>
          <w:p w14:paraId="140C4602" w14:textId="77777777" w:rsidR="004C214E" w:rsidRPr="005E4CF7" w:rsidRDefault="004C214E">
            <w:pPr>
              <w:spacing w:line="242" w:lineRule="atLeast"/>
              <w:rPr>
                <w:rFonts w:ascii="Arial" w:eastAsia="Times New Roman" w:hAnsi="Arial" w:cs="Arial"/>
                <w:sz w:val="20"/>
                <w:szCs w:val="20"/>
              </w:rPr>
            </w:pPr>
          </w:p>
        </w:tc>
      </w:tr>
      <w:tr w:rsidR="004C214E" w:rsidRPr="005E4CF7" w14:paraId="140C4609" w14:textId="77777777" w:rsidTr="004C214E">
        <w:tc>
          <w:tcPr>
            <w:tcW w:w="1165" w:type="dxa"/>
            <w:vMerge/>
          </w:tcPr>
          <w:p w14:paraId="140C4604" w14:textId="77777777" w:rsidR="004C214E" w:rsidRPr="005E4CF7" w:rsidRDefault="004C214E">
            <w:pPr>
              <w:spacing w:line="242" w:lineRule="atLeast"/>
              <w:rPr>
                <w:rFonts w:ascii="Arial" w:eastAsia="Times New Roman" w:hAnsi="Arial" w:cs="Arial"/>
                <w:sz w:val="20"/>
                <w:szCs w:val="20"/>
              </w:rPr>
            </w:pPr>
          </w:p>
        </w:tc>
        <w:tc>
          <w:tcPr>
            <w:tcW w:w="2790" w:type="dxa"/>
          </w:tcPr>
          <w:p w14:paraId="140C4605" w14:textId="77777777" w:rsidR="004C214E" w:rsidRPr="005E4CF7" w:rsidRDefault="004C214E">
            <w:pPr>
              <w:spacing w:line="242" w:lineRule="atLeast"/>
              <w:rPr>
                <w:rFonts w:ascii="Arial" w:eastAsia="Times New Roman" w:hAnsi="Arial" w:cs="Arial"/>
                <w:sz w:val="20"/>
                <w:szCs w:val="20"/>
              </w:rPr>
            </w:pPr>
          </w:p>
        </w:tc>
        <w:tc>
          <w:tcPr>
            <w:tcW w:w="2250" w:type="dxa"/>
          </w:tcPr>
          <w:p w14:paraId="140C4606" w14:textId="77777777" w:rsidR="004C214E" w:rsidRPr="005E4CF7" w:rsidRDefault="004C214E">
            <w:pPr>
              <w:spacing w:line="242" w:lineRule="atLeast"/>
              <w:rPr>
                <w:rFonts w:ascii="Arial" w:eastAsia="Times New Roman" w:hAnsi="Arial" w:cs="Arial"/>
                <w:sz w:val="20"/>
                <w:szCs w:val="20"/>
              </w:rPr>
            </w:pPr>
          </w:p>
        </w:tc>
        <w:tc>
          <w:tcPr>
            <w:tcW w:w="2430" w:type="dxa"/>
          </w:tcPr>
          <w:p w14:paraId="140C4607" w14:textId="77777777" w:rsidR="004C214E" w:rsidRPr="005E4CF7" w:rsidRDefault="004C214E">
            <w:pPr>
              <w:spacing w:line="242" w:lineRule="atLeast"/>
              <w:rPr>
                <w:rFonts w:ascii="Arial" w:eastAsia="Times New Roman" w:hAnsi="Arial" w:cs="Arial"/>
                <w:sz w:val="20"/>
                <w:szCs w:val="20"/>
              </w:rPr>
            </w:pPr>
          </w:p>
        </w:tc>
        <w:tc>
          <w:tcPr>
            <w:tcW w:w="1800" w:type="dxa"/>
          </w:tcPr>
          <w:p w14:paraId="140C4608" w14:textId="77777777" w:rsidR="004C214E" w:rsidRPr="005E4CF7" w:rsidRDefault="004C214E">
            <w:pPr>
              <w:spacing w:line="242" w:lineRule="atLeast"/>
              <w:rPr>
                <w:rFonts w:ascii="Arial" w:eastAsia="Times New Roman" w:hAnsi="Arial" w:cs="Arial"/>
                <w:sz w:val="20"/>
                <w:szCs w:val="20"/>
              </w:rPr>
            </w:pPr>
          </w:p>
        </w:tc>
      </w:tr>
      <w:tr w:rsidR="004C214E" w:rsidRPr="005E4CF7" w14:paraId="140C460F" w14:textId="77777777" w:rsidTr="004C214E">
        <w:tc>
          <w:tcPr>
            <w:tcW w:w="1165" w:type="dxa"/>
            <w:vMerge w:val="restart"/>
          </w:tcPr>
          <w:p w14:paraId="140C460A" w14:textId="77777777" w:rsidR="004C214E" w:rsidRPr="005E4CF7" w:rsidRDefault="004C214E">
            <w:pPr>
              <w:spacing w:line="242" w:lineRule="atLeast"/>
              <w:rPr>
                <w:rFonts w:ascii="Arial" w:eastAsia="Times New Roman" w:hAnsi="Arial" w:cs="Arial"/>
                <w:sz w:val="20"/>
                <w:szCs w:val="20"/>
              </w:rPr>
            </w:pPr>
            <w:r>
              <w:rPr>
                <w:rFonts w:ascii="Arial" w:eastAsia="Times New Roman" w:hAnsi="Arial" w:cs="Arial"/>
                <w:sz w:val="20"/>
                <w:szCs w:val="20"/>
                <w:lang w:val="fr"/>
              </w:rPr>
              <w:t>Paludisme</w:t>
            </w:r>
          </w:p>
        </w:tc>
        <w:tc>
          <w:tcPr>
            <w:tcW w:w="2790" w:type="dxa"/>
          </w:tcPr>
          <w:p w14:paraId="140C460B" w14:textId="77777777" w:rsidR="004C214E" w:rsidRPr="005E4CF7" w:rsidRDefault="004C214E">
            <w:pPr>
              <w:spacing w:line="242" w:lineRule="atLeast"/>
              <w:rPr>
                <w:rFonts w:ascii="Arial" w:eastAsia="Times New Roman" w:hAnsi="Arial" w:cs="Arial"/>
                <w:sz w:val="20"/>
                <w:szCs w:val="20"/>
              </w:rPr>
            </w:pPr>
          </w:p>
        </w:tc>
        <w:tc>
          <w:tcPr>
            <w:tcW w:w="2250" w:type="dxa"/>
          </w:tcPr>
          <w:p w14:paraId="140C460C" w14:textId="77777777" w:rsidR="004C214E" w:rsidRPr="005E4CF7" w:rsidRDefault="004C214E">
            <w:pPr>
              <w:spacing w:line="242" w:lineRule="atLeast"/>
              <w:rPr>
                <w:rFonts w:ascii="Arial" w:eastAsia="Times New Roman" w:hAnsi="Arial" w:cs="Arial"/>
                <w:sz w:val="20"/>
                <w:szCs w:val="20"/>
              </w:rPr>
            </w:pPr>
          </w:p>
        </w:tc>
        <w:tc>
          <w:tcPr>
            <w:tcW w:w="2430" w:type="dxa"/>
          </w:tcPr>
          <w:p w14:paraId="140C460D" w14:textId="77777777" w:rsidR="004C214E" w:rsidRPr="005E4CF7" w:rsidRDefault="004C214E">
            <w:pPr>
              <w:spacing w:line="242" w:lineRule="atLeast"/>
              <w:rPr>
                <w:rFonts w:ascii="Arial" w:eastAsia="Times New Roman" w:hAnsi="Arial" w:cs="Arial"/>
                <w:sz w:val="20"/>
                <w:szCs w:val="20"/>
              </w:rPr>
            </w:pPr>
          </w:p>
        </w:tc>
        <w:tc>
          <w:tcPr>
            <w:tcW w:w="1800" w:type="dxa"/>
          </w:tcPr>
          <w:p w14:paraId="140C460E" w14:textId="77777777" w:rsidR="004C214E" w:rsidRPr="005E4CF7" w:rsidRDefault="004C214E">
            <w:pPr>
              <w:spacing w:line="242" w:lineRule="atLeast"/>
              <w:rPr>
                <w:rFonts w:ascii="Arial" w:eastAsia="Times New Roman" w:hAnsi="Arial" w:cs="Arial"/>
                <w:sz w:val="20"/>
                <w:szCs w:val="20"/>
              </w:rPr>
            </w:pPr>
          </w:p>
        </w:tc>
      </w:tr>
      <w:tr w:rsidR="004C214E" w:rsidRPr="005E4CF7" w14:paraId="140C4615" w14:textId="77777777" w:rsidTr="004C214E">
        <w:tc>
          <w:tcPr>
            <w:tcW w:w="1165" w:type="dxa"/>
            <w:vMerge/>
          </w:tcPr>
          <w:p w14:paraId="140C4610" w14:textId="77777777" w:rsidR="004C214E" w:rsidRPr="005E4CF7" w:rsidRDefault="004C214E">
            <w:pPr>
              <w:spacing w:line="242" w:lineRule="atLeast"/>
              <w:rPr>
                <w:rFonts w:ascii="Arial" w:eastAsia="Times New Roman" w:hAnsi="Arial" w:cs="Arial"/>
                <w:sz w:val="20"/>
                <w:szCs w:val="20"/>
              </w:rPr>
            </w:pPr>
          </w:p>
        </w:tc>
        <w:tc>
          <w:tcPr>
            <w:tcW w:w="2790" w:type="dxa"/>
          </w:tcPr>
          <w:p w14:paraId="140C4611" w14:textId="77777777" w:rsidR="004C214E" w:rsidRPr="005E4CF7" w:rsidRDefault="004C214E">
            <w:pPr>
              <w:spacing w:line="242" w:lineRule="atLeast"/>
              <w:rPr>
                <w:rFonts w:ascii="Arial" w:eastAsia="Times New Roman" w:hAnsi="Arial" w:cs="Arial"/>
                <w:sz w:val="20"/>
                <w:szCs w:val="20"/>
              </w:rPr>
            </w:pPr>
          </w:p>
        </w:tc>
        <w:tc>
          <w:tcPr>
            <w:tcW w:w="2250" w:type="dxa"/>
          </w:tcPr>
          <w:p w14:paraId="140C4612" w14:textId="77777777" w:rsidR="004C214E" w:rsidRPr="005E4CF7" w:rsidRDefault="004C214E">
            <w:pPr>
              <w:spacing w:line="242" w:lineRule="atLeast"/>
              <w:rPr>
                <w:rFonts w:ascii="Arial" w:eastAsia="Times New Roman" w:hAnsi="Arial" w:cs="Arial"/>
                <w:sz w:val="20"/>
                <w:szCs w:val="20"/>
              </w:rPr>
            </w:pPr>
          </w:p>
        </w:tc>
        <w:tc>
          <w:tcPr>
            <w:tcW w:w="2430" w:type="dxa"/>
          </w:tcPr>
          <w:p w14:paraId="140C4613" w14:textId="77777777" w:rsidR="004C214E" w:rsidRPr="005E4CF7" w:rsidRDefault="004C214E">
            <w:pPr>
              <w:spacing w:line="242" w:lineRule="atLeast"/>
              <w:rPr>
                <w:rFonts w:ascii="Arial" w:eastAsia="Times New Roman" w:hAnsi="Arial" w:cs="Arial"/>
                <w:sz w:val="20"/>
                <w:szCs w:val="20"/>
              </w:rPr>
            </w:pPr>
          </w:p>
        </w:tc>
        <w:tc>
          <w:tcPr>
            <w:tcW w:w="1800" w:type="dxa"/>
          </w:tcPr>
          <w:p w14:paraId="140C4614" w14:textId="77777777" w:rsidR="004C214E" w:rsidRPr="005E4CF7" w:rsidRDefault="004C214E">
            <w:pPr>
              <w:spacing w:line="242" w:lineRule="atLeast"/>
              <w:rPr>
                <w:rFonts w:ascii="Arial" w:eastAsia="Times New Roman" w:hAnsi="Arial" w:cs="Arial"/>
                <w:sz w:val="20"/>
                <w:szCs w:val="20"/>
              </w:rPr>
            </w:pPr>
          </w:p>
        </w:tc>
      </w:tr>
      <w:tr w:rsidR="004C214E" w:rsidRPr="005E4CF7" w14:paraId="140C461B" w14:textId="77777777" w:rsidTr="004C214E">
        <w:tc>
          <w:tcPr>
            <w:tcW w:w="1165" w:type="dxa"/>
            <w:vMerge/>
          </w:tcPr>
          <w:p w14:paraId="140C4616" w14:textId="77777777" w:rsidR="004C214E" w:rsidRPr="005E4CF7" w:rsidRDefault="004C214E">
            <w:pPr>
              <w:spacing w:line="242" w:lineRule="atLeast"/>
              <w:rPr>
                <w:rFonts w:ascii="Arial" w:eastAsia="Times New Roman" w:hAnsi="Arial" w:cs="Arial"/>
                <w:sz w:val="20"/>
                <w:szCs w:val="20"/>
              </w:rPr>
            </w:pPr>
          </w:p>
        </w:tc>
        <w:tc>
          <w:tcPr>
            <w:tcW w:w="2790" w:type="dxa"/>
          </w:tcPr>
          <w:p w14:paraId="140C4617" w14:textId="77777777" w:rsidR="004C214E" w:rsidRPr="005E4CF7" w:rsidRDefault="004C214E">
            <w:pPr>
              <w:spacing w:line="242" w:lineRule="atLeast"/>
              <w:rPr>
                <w:rFonts w:ascii="Arial" w:eastAsia="Times New Roman" w:hAnsi="Arial" w:cs="Arial"/>
                <w:sz w:val="20"/>
                <w:szCs w:val="20"/>
              </w:rPr>
            </w:pPr>
          </w:p>
        </w:tc>
        <w:tc>
          <w:tcPr>
            <w:tcW w:w="2250" w:type="dxa"/>
          </w:tcPr>
          <w:p w14:paraId="140C4618" w14:textId="77777777" w:rsidR="004C214E" w:rsidRPr="005E4CF7" w:rsidRDefault="004C214E">
            <w:pPr>
              <w:spacing w:line="242" w:lineRule="atLeast"/>
              <w:rPr>
                <w:rFonts w:ascii="Arial" w:eastAsia="Times New Roman" w:hAnsi="Arial" w:cs="Arial"/>
                <w:sz w:val="20"/>
                <w:szCs w:val="20"/>
              </w:rPr>
            </w:pPr>
          </w:p>
        </w:tc>
        <w:tc>
          <w:tcPr>
            <w:tcW w:w="2430" w:type="dxa"/>
          </w:tcPr>
          <w:p w14:paraId="140C4619" w14:textId="77777777" w:rsidR="004C214E" w:rsidRPr="005E4CF7" w:rsidRDefault="004C214E">
            <w:pPr>
              <w:spacing w:line="242" w:lineRule="atLeast"/>
              <w:rPr>
                <w:rFonts w:ascii="Arial" w:eastAsia="Times New Roman" w:hAnsi="Arial" w:cs="Arial"/>
                <w:sz w:val="20"/>
                <w:szCs w:val="20"/>
              </w:rPr>
            </w:pPr>
          </w:p>
        </w:tc>
        <w:tc>
          <w:tcPr>
            <w:tcW w:w="1800" w:type="dxa"/>
          </w:tcPr>
          <w:p w14:paraId="140C461A" w14:textId="77777777" w:rsidR="004C214E" w:rsidRPr="005E4CF7" w:rsidRDefault="004C214E">
            <w:pPr>
              <w:spacing w:line="242" w:lineRule="atLeast"/>
              <w:rPr>
                <w:rFonts w:ascii="Arial" w:eastAsia="Times New Roman" w:hAnsi="Arial" w:cs="Arial"/>
                <w:sz w:val="20"/>
                <w:szCs w:val="20"/>
              </w:rPr>
            </w:pPr>
          </w:p>
        </w:tc>
      </w:tr>
      <w:tr w:rsidR="004C214E" w:rsidRPr="00380990" w14:paraId="140C4621" w14:textId="77777777" w:rsidTr="004C214E">
        <w:tc>
          <w:tcPr>
            <w:tcW w:w="1165" w:type="dxa"/>
            <w:vMerge w:val="restart"/>
          </w:tcPr>
          <w:p w14:paraId="140C461C" w14:textId="77777777" w:rsidR="004C214E" w:rsidRPr="00555AD3" w:rsidRDefault="004C214E">
            <w:pPr>
              <w:spacing w:line="242" w:lineRule="atLeast"/>
              <w:rPr>
                <w:rFonts w:ascii="Arial" w:eastAsia="Times New Roman" w:hAnsi="Arial" w:cs="Arial"/>
                <w:sz w:val="20"/>
                <w:szCs w:val="20"/>
                <w:lang w:val="fr-CH"/>
              </w:rPr>
            </w:pPr>
            <w:r>
              <w:rPr>
                <w:rFonts w:ascii="Arial" w:eastAsia="Times New Roman" w:hAnsi="Arial" w:cs="Arial"/>
                <w:sz w:val="20"/>
                <w:szCs w:val="20"/>
                <w:lang w:val="fr"/>
              </w:rPr>
              <w:t xml:space="preserve">Systèmes résistants et pérennes </w:t>
            </w:r>
            <w:r>
              <w:rPr>
                <w:rFonts w:ascii="Arial" w:eastAsia="Times New Roman" w:hAnsi="Arial" w:cs="Arial"/>
                <w:sz w:val="20"/>
                <w:szCs w:val="20"/>
                <w:lang w:val="fr"/>
              </w:rPr>
              <w:lastRenderedPageBreak/>
              <w:t>pour la santé (SRPS)</w:t>
            </w:r>
          </w:p>
        </w:tc>
        <w:tc>
          <w:tcPr>
            <w:tcW w:w="2790" w:type="dxa"/>
          </w:tcPr>
          <w:p w14:paraId="140C461D" w14:textId="77777777" w:rsidR="004C214E" w:rsidRPr="00555AD3" w:rsidRDefault="004C214E">
            <w:pPr>
              <w:spacing w:line="242" w:lineRule="atLeast"/>
              <w:rPr>
                <w:rFonts w:ascii="Arial" w:eastAsia="Times New Roman" w:hAnsi="Arial" w:cs="Arial"/>
                <w:sz w:val="20"/>
                <w:szCs w:val="20"/>
                <w:lang w:val="fr-CH"/>
              </w:rPr>
            </w:pPr>
          </w:p>
        </w:tc>
        <w:tc>
          <w:tcPr>
            <w:tcW w:w="2250" w:type="dxa"/>
          </w:tcPr>
          <w:p w14:paraId="140C461E" w14:textId="77777777" w:rsidR="004C214E" w:rsidRPr="00555AD3" w:rsidRDefault="004C214E">
            <w:pPr>
              <w:spacing w:line="242" w:lineRule="atLeast"/>
              <w:rPr>
                <w:rFonts w:ascii="Arial" w:eastAsia="Times New Roman" w:hAnsi="Arial" w:cs="Arial"/>
                <w:sz w:val="20"/>
                <w:szCs w:val="20"/>
                <w:lang w:val="fr-CH"/>
              </w:rPr>
            </w:pPr>
          </w:p>
        </w:tc>
        <w:tc>
          <w:tcPr>
            <w:tcW w:w="2430" w:type="dxa"/>
          </w:tcPr>
          <w:p w14:paraId="140C461F" w14:textId="77777777" w:rsidR="004C214E" w:rsidRPr="00555AD3" w:rsidRDefault="004C214E">
            <w:pPr>
              <w:spacing w:line="242" w:lineRule="atLeast"/>
              <w:rPr>
                <w:rFonts w:ascii="Arial" w:eastAsia="Times New Roman" w:hAnsi="Arial" w:cs="Arial"/>
                <w:sz w:val="20"/>
                <w:szCs w:val="20"/>
                <w:lang w:val="fr-CH"/>
              </w:rPr>
            </w:pPr>
          </w:p>
        </w:tc>
        <w:tc>
          <w:tcPr>
            <w:tcW w:w="1800" w:type="dxa"/>
          </w:tcPr>
          <w:p w14:paraId="140C4620" w14:textId="77777777" w:rsidR="004C214E" w:rsidRPr="00555AD3" w:rsidRDefault="004C214E">
            <w:pPr>
              <w:spacing w:line="242" w:lineRule="atLeast"/>
              <w:rPr>
                <w:rFonts w:ascii="Arial" w:eastAsia="Times New Roman" w:hAnsi="Arial" w:cs="Arial"/>
                <w:sz w:val="20"/>
                <w:szCs w:val="20"/>
                <w:lang w:val="fr-CH"/>
              </w:rPr>
            </w:pPr>
          </w:p>
        </w:tc>
      </w:tr>
      <w:tr w:rsidR="004C214E" w:rsidRPr="00380990" w14:paraId="140C4627" w14:textId="77777777" w:rsidTr="004C214E">
        <w:tc>
          <w:tcPr>
            <w:tcW w:w="1165" w:type="dxa"/>
            <w:vMerge/>
          </w:tcPr>
          <w:p w14:paraId="140C4622" w14:textId="77777777" w:rsidR="004C214E" w:rsidRPr="00555AD3" w:rsidRDefault="004C214E">
            <w:pPr>
              <w:spacing w:line="242" w:lineRule="atLeast"/>
              <w:rPr>
                <w:rFonts w:ascii="Arial" w:eastAsia="Times New Roman" w:hAnsi="Arial" w:cs="Arial"/>
                <w:sz w:val="20"/>
                <w:szCs w:val="20"/>
                <w:lang w:val="fr-CH"/>
              </w:rPr>
            </w:pPr>
          </w:p>
        </w:tc>
        <w:tc>
          <w:tcPr>
            <w:tcW w:w="2790" w:type="dxa"/>
          </w:tcPr>
          <w:p w14:paraId="140C4623" w14:textId="77777777" w:rsidR="004C214E" w:rsidRPr="00555AD3" w:rsidRDefault="004C214E">
            <w:pPr>
              <w:spacing w:line="242" w:lineRule="atLeast"/>
              <w:rPr>
                <w:rFonts w:ascii="Arial" w:eastAsia="Times New Roman" w:hAnsi="Arial" w:cs="Arial"/>
                <w:sz w:val="20"/>
                <w:szCs w:val="20"/>
                <w:lang w:val="fr-CH"/>
              </w:rPr>
            </w:pPr>
          </w:p>
        </w:tc>
        <w:tc>
          <w:tcPr>
            <w:tcW w:w="2250" w:type="dxa"/>
          </w:tcPr>
          <w:p w14:paraId="140C4624" w14:textId="77777777" w:rsidR="004C214E" w:rsidRPr="00555AD3" w:rsidRDefault="004C214E">
            <w:pPr>
              <w:spacing w:line="242" w:lineRule="atLeast"/>
              <w:rPr>
                <w:rFonts w:ascii="Arial" w:eastAsia="Times New Roman" w:hAnsi="Arial" w:cs="Arial"/>
                <w:sz w:val="20"/>
                <w:szCs w:val="20"/>
                <w:lang w:val="fr-CH"/>
              </w:rPr>
            </w:pPr>
          </w:p>
        </w:tc>
        <w:tc>
          <w:tcPr>
            <w:tcW w:w="2430" w:type="dxa"/>
          </w:tcPr>
          <w:p w14:paraId="140C4625" w14:textId="77777777" w:rsidR="004C214E" w:rsidRPr="00555AD3" w:rsidRDefault="004C214E">
            <w:pPr>
              <w:spacing w:line="242" w:lineRule="atLeast"/>
              <w:rPr>
                <w:rFonts w:ascii="Arial" w:eastAsia="Times New Roman" w:hAnsi="Arial" w:cs="Arial"/>
                <w:sz w:val="20"/>
                <w:szCs w:val="20"/>
                <w:lang w:val="fr-CH"/>
              </w:rPr>
            </w:pPr>
          </w:p>
        </w:tc>
        <w:tc>
          <w:tcPr>
            <w:tcW w:w="1800" w:type="dxa"/>
          </w:tcPr>
          <w:p w14:paraId="140C4626" w14:textId="77777777" w:rsidR="004C214E" w:rsidRPr="00555AD3" w:rsidRDefault="004C214E">
            <w:pPr>
              <w:spacing w:line="242" w:lineRule="atLeast"/>
              <w:rPr>
                <w:rFonts w:ascii="Arial" w:eastAsia="Times New Roman" w:hAnsi="Arial" w:cs="Arial"/>
                <w:sz w:val="20"/>
                <w:szCs w:val="20"/>
                <w:lang w:val="fr-CH"/>
              </w:rPr>
            </w:pPr>
          </w:p>
        </w:tc>
      </w:tr>
      <w:tr w:rsidR="004C214E" w:rsidRPr="00380990" w14:paraId="140C462D" w14:textId="77777777" w:rsidTr="004C214E">
        <w:tc>
          <w:tcPr>
            <w:tcW w:w="1165" w:type="dxa"/>
            <w:vMerge/>
          </w:tcPr>
          <w:p w14:paraId="140C4628" w14:textId="77777777" w:rsidR="004C214E" w:rsidRPr="00555AD3" w:rsidRDefault="004C214E">
            <w:pPr>
              <w:spacing w:line="242" w:lineRule="atLeast"/>
              <w:rPr>
                <w:rFonts w:ascii="Arial" w:eastAsia="Times New Roman" w:hAnsi="Arial" w:cs="Arial"/>
                <w:sz w:val="20"/>
                <w:szCs w:val="20"/>
                <w:lang w:val="fr-CH"/>
              </w:rPr>
            </w:pPr>
          </w:p>
        </w:tc>
        <w:tc>
          <w:tcPr>
            <w:tcW w:w="2790" w:type="dxa"/>
          </w:tcPr>
          <w:p w14:paraId="140C4629" w14:textId="77777777" w:rsidR="004C214E" w:rsidRPr="00555AD3" w:rsidRDefault="004C214E">
            <w:pPr>
              <w:spacing w:line="242" w:lineRule="atLeast"/>
              <w:rPr>
                <w:rFonts w:ascii="Arial" w:eastAsia="Times New Roman" w:hAnsi="Arial" w:cs="Arial"/>
                <w:sz w:val="20"/>
                <w:szCs w:val="20"/>
                <w:lang w:val="fr-CH"/>
              </w:rPr>
            </w:pPr>
          </w:p>
        </w:tc>
        <w:tc>
          <w:tcPr>
            <w:tcW w:w="2250" w:type="dxa"/>
          </w:tcPr>
          <w:p w14:paraId="140C462A" w14:textId="77777777" w:rsidR="004C214E" w:rsidRPr="00555AD3" w:rsidRDefault="004C214E">
            <w:pPr>
              <w:spacing w:line="242" w:lineRule="atLeast"/>
              <w:rPr>
                <w:rFonts w:ascii="Arial" w:eastAsia="Times New Roman" w:hAnsi="Arial" w:cs="Arial"/>
                <w:sz w:val="20"/>
                <w:szCs w:val="20"/>
                <w:lang w:val="fr-CH"/>
              </w:rPr>
            </w:pPr>
          </w:p>
        </w:tc>
        <w:tc>
          <w:tcPr>
            <w:tcW w:w="2430" w:type="dxa"/>
          </w:tcPr>
          <w:p w14:paraId="140C462B" w14:textId="77777777" w:rsidR="004C214E" w:rsidRPr="00555AD3" w:rsidRDefault="004C214E">
            <w:pPr>
              <w:spacing w:line="242" w:lineRule="atLeast"/>
              <w:rPr>
                <w:rFonts w:ascii="Arial" w:eastAsia="Times New Roman" w:hAnsi="Arial" w:cs="Arial"/>
                <w:sz w:val="20"/>
                <w:szCs w:val="20"/>
                <w:lang w:val="fr-CH"/>
              </w:rPr>
            </w:pPr>
          </w:p>
        </w:tc>
        <w:tc>
          <w:tcPr>
            <w:tcW w:w="1800" w:type="dxa"/>
          </w:tcPr>
          <w:p w14:paraId="140C462C" w14:textId="77777777" w:rsidR="004C214E" w:rsidRPr="00555AD3" w:rsidRDefault="004C214E">
            <w:pPr>
              <w:spacing w:line="242" w:lineRule="atLeast"/>
              <w:rPr>
                <w:rFonts w:ascii="Arial" w:eastAsia="Times New Roman" w:hAnsi="Arial" w:cs="Arial"/>
                <w:sz w:val="20"/>
                <w:szCs w:val="20"/>
                <w:lang w:val="fr-CH"/>
              </w:rPr>
            </w:pPr>
          </w:p>
        </w:tc>
      </w:tr>
    </w:tbl>
    <w:p w14:paraId="140C462E" w14:textId="77777777" w:rsidR="00B92521" w:rsidRPr="00555AD3" w:rsidRDefault="00B92521">
      <w:pPr>
        <w:spacing w:after="160" w:line="259" w:lineRule="auto"/>
        <w:rPr>
          <w:rFonts w:ascii="Arial" w:eastAsia="Times New Roman" w:hAnsi="Arial" w:cs="Arial"/>
          <w:b/>
          <w:bCs/>
          <w:sz w:val="24"/>
          <w:szCs w:val="24"/>
          <w:lang w:val="fr-CH"/>
        </w:rPr>
      </w:pPr>
    </w:p>
    <w:p w14:paraId="140C462F" w14:textId="77777777" w:rsidR="00C266C6" w:rsidRPr="0043181F" w:rsidRDefault="00C266C6" w:rsidP="0043181F">
      <w:pPr>
        <w:pStyle w:val="ListParagraph"/>
        <w:numPr>
          <w:ilvl w:val="0"/>
          <w:numId w:val="10"/>
        </w:numPr>
        <w:spacing w:line="242" w:lineRule="atLeast"/>
        <w:rPr>
          <w:rFonts w:ascii="Arial" w:hAnsi="Arial" w:cs="Arial"/>
          <w:b/>
          <w:bCs/>
        </w:rPr>
      </w:pPr>
      <w:r>
        <w:rPr>
          <w:rFonts w:ascii="Arial" w:hAnsi="Arial" w:cs="Arial"/>
          <w:b/>
          <w:bCs/>
          <w:lang w:val="fr"/>
        </w:rPr>
        <w:t>Suivi et communication de l’information</w:t>
      </w:r>
    </w:p>
    <w:p w14:paraId="140C4630" w14:textId="77777777" w:rsidR="00C266C6" w:rsidRPr="00555AD3" w:rsidRDefault="007700A7" w:rsidP="00AA2250">
      <w:pPr>
        <w:spacing w:line="242" w:lineRule="atLeast"/>
        <w:rPr>
          <w:rFonts w:ascii="Arial" w:hAnsi="Arial" w:cs="Arial"/>
          <w:lang w:val="fr-CH"/>
        </w:rPr>
      </w:pPr>
      <w:r>
        <w:rPr>
          <w:rFonts w:ascii="Arial" w:hAnsi="Arial" w:cs="Arial"/>
          <w:lang w:val="fr"/>
        </w:rPr>
        <w:t>Nous nous engageons également à fournir au Fonds mondial des documents vérifiables et fiables et des éléments probants sur les dépenses des fonds nationaux ou, lorsque les chiffres relatifs aux dépenses ne sont pas encore disponibles, les derniers montants budgétisés, sur la base des éléments suivants.</w:t>
      </w:r>
    </w:p>
    <w:p w14:paraId="140C4631" w14:textId="77777777" w:rsidR="00DF58EF" w:rsidRPr="00555AD3" w:rsidRDefault="00C266C6" w:rsidP="00403C50">
      <w:pPr>
        <w:pStyle w:val="ListParagraph"/>
        <w:numPr>
          <w:ilvl w:val="0"/>
          <w:numId w:val="7"/>
        </w:numPr>
        <w:spacing w:before="120" w:beforeAutospacing="0" w:line="242" w:lineRule="atLeast"/>
        <w:ind w:left="714" w:hanging="357"/>
        <w:rPr>
          <w:rFonts w:ascii="Arial" w:hAnsi="Arial" w:cs="Arial"/>
          <w:sz w:val="22"/>
          <w:szCs w:val="22"/>
          <w:lang w:val="fr-CH"/>
        </w:rPr>
      </w:pPr>
      <w:r>
        <w:rPr>
          <w:rFonts w:ascii="Arial" w:hAnsi="Arial" w:cs="Arial"/>
          <w:sz w:val="22"/>
          <w:szCs w:val="22"/>
          <w:lang w:val="fr"/>
        </w:rPr>
        <w:t xml:space="preserve">Pour les dépenses passées : </w:t>
      </w:r>
      <w:r>
        <w:rPr>
          <w:rFonts w:ascii="Arial" w:hAnsi="Arial" w:cs="Arial"/>
          <w:sz w:val="22"/>
          <w:szCs w:val="22"/>
          <w:highlight w:val="yellow"/>
          <w:lang w:val="fr"/>
        </w:rPr>
        <w:t>[</w:t>
      </w:r>
      <w:r>
        <w:rPr>
          <w:rFonts w:ascii="Arial" w:hAnsi="Arial" w:cs="Arial"/>
          <w:i/>
          <w:iCs/>
          <w:sz w:val="22"/>
          <w:szCs w:val="22"/>
          <w:highlight w:val="yellow"/>
          <w:lang w:val="fr"/>
        </w:rPr>
        <w:t>Exemples :</w:t>
      </w:r>
      <w:r>
        <w:rPr>
          <w:rFonts w:ascii="Arial" w:hAnsi="Arial" w:cs="Arial"/>
          <w:sz w:val="22"/>
          <w:szCs w:val="22"/>
          <w:highlight w:val="yellow"/>
          <w:lang w:val="fr"/>
        </w:rPr>
        <w:t xml:space="preserve"> rapports sur l’exécution / les dépenses du budget par rapport aux allocations ou aux lignes budgétaires et aux activités qui se rapportent clairement aux engagements, à l’approvisionnement, etc.]</w:t>
      </w:r>
    </w:p>
    <w:p w14:paraId="140C4632" w14:textId="77777777" w:rsidR="003D1AA1" w:rsidRPr="00555AD3" w:rsidRDefault="00C266C6" w:rsidP="00F96E51">
      <w:pPr>
        <w:pStyle w:val="ListParagraph"/>
        <w:numPr>
          <w:ilvl w:val="0"/>
          <w:numId w:val="7"/>
        </w:numPr>
        <w:spacing w:before="120" w:beforeAutospacing="0" w:line="242" w:lineRule="atLeast"/>
        <w:ind w:left="714" w:hanging="357"/>
        <w:rPr>
          <w:rFonts w:ascii="Arial" w:hAnsi="Arial" w:cs="Arial"/>
          <w:sz w:val="22"/>
          <w:szCs w:val="22"/>
          <w:lang w:val="fr-CH"/>
        </w:rPr>
      </w:pPr>
      <w:r>
        <w:rPr>
          <w:rFonts w:ascii="Arial" w:hAnsi="Arial" w:cs="Arial"/>
          <w:sz w:val="22"/>
          <w:szCs w:val="22"/>
          <w:lang w:val="fr"/>
        </w:rPr>
        <w:t xml:space="preserve">Pour les dépenses futures prévues : </w:t>
      </w:r>
      <w:r>
        <w:rPr>
          <w:rFonts w:ascii="Arial" w:hAnsi="Arial" w:cs="Arial"/>
          <w:sz w:val="22"/>
          <w:szCs w:val="22"/>
          <w:highlight w:val="yellow"/>
          <w:lang w:val="fr"/>
        </w:rPr>
        <w:t>[</w:t>
      </w:r>
      <w:r>
        <w:rPr>
          <w:rFonts w:ascii="Arial" w:hAnsi="Arial" w:cs="Arial"/>
          <w:i/>
          <w:iCs/>
          <w:sz w:val="22"/>
          <w:szCs w:val="22"/>
          <w:highlight w:val="yellow"/>
          <w:lang w:val="fr"/>
        </w:rPr>
        <w:t>Exemples :</w:t>
      </w:r>
      <w:r>
        <w:rPr>
          <w:rFonts w:ascii="Arial" w:hAnsi="Arial" w:cs="Arial"/>
          <w:sz w:val="22"/>
          <w:szCs w:val="22"/>
          <w:highlight w:val="yellow"/>
          <w:lang w:val="fr"/>
        </w:rPr>
        <w:t xml:space="preserve"> budgets publiés officiellement, cadres de dépenses à moyen terme, rapports de quantification ou plans d’achat pour les produits de base, etc.]</w:t>
      </w:r>
    </w:p>
    <w:p w14:paraId="140C4633" w14:textId="77777777" w:rsidR="00D73717" w:rsidRPr="00555AD3" w:rsidRDefault="004C144A" w:rsidP="002D3AE6">
      <w:pPr>
        <w:spacing w:before="120" w:line="242" w:lineRule="atLeast"/>
        <w:rPr>
          <w:rFonts w:ascii="Arial" w:hAnsi="Arial" w:cs="Arial"/>
          <w:lang w:val="fr-CH"/>
        </w:rPr>
      </w:pPr>
      <w:r>
        <w:rPr>
          <w:rFonts w:ascii="Arial" w:hAnsi="Arial" w:cs="Arial"/>
          <w:lang w:val="fr"/>
        </w:rPr>
        <w:t xml:space="preserve">Nous collecterons et communiquerons au Fonds mondial des données sur les dépenses et le budget par rapport à ces engagements </w:t>
      </w:r>
      <w:r>
        <w:rPr>
          <w:rFonts w:ascii="Arial" w:hAnsi="Arial" w:cs="Arial"/>
          <w:highlight w:val="yellow"/>
          <w:lang w:val="fr"/>
        </w:rPr>
        <w:t>sur une base annuelle</w:t>
      </w:r>
      <w:r>
        <w:rPr>
          <w:rFonts w:ascii="Arial" w:hAnsi="Arial" w:cs="Arial"/>
          <w:lang w:val="fr"/>
        </w:rPr>
        <w:t xml:space="preserve">. Nous soumettrons un rapport de cofinancement au Fonds mondial chaque année en date du </w:t>
      </w:r>
      <w:r>
        <w:rPr>
          <w:rFonts w:ascii="Arial" w:hAnsi="Arial" w:cs="Arial"/>
          <w:highlight w:val="yellow"/>
          <w:lang w:val="fr"/>
        </w:rPr>
        <w:t>XXX</w:t>
      </w:r>
      <w:r>
        <w:rPr>
          <w:rFonts w:ascii="Arial" w:hAnsi="Arial" w:cs="Arial"/>
          <w:lang w:val="fr"/>
        </w:rPr>
        <w:t xml:space="preserve">, pour couvrir la période annuelle commençant au </w:t>
      </w:r>
      <w:r>
        <w:rPr>
          <w:rFonts w:ascii="Arial" w:hAnsi="Arial" w:cs="Arial"/>
          <w:highlight w:val="yellow"/>
          <w:lang w:val="fr"/>
        </w:rPr>
        <w:t>YYY</w:t>
      </w:r>
      <w:r>
        <w:rPr>
          <w:rFonts w:ascii="Arial" w:hAnsi="Arial" w:cs="Arial"/>
          <w:lang w:val="fr"/>
        </w:rPr>
        <w:t xml:space="preserve"> et se terminant au </w:t>
      </w:r>
      <w:r>
        <w:rPr>
          <w:rFonts w:ascii="Arial" w:hAnsi="Arial" w:cs="Arial"/>
          <w:highlight w:val="yellow"/>
          <w:lang w:val="fr"/>
        </w:rPr>
        <w:t>ZZZ</w:t>
      </w:r>
      <w:r>
        <w:rPr>
          <w:rFonts w:ascii="Arial" w:hAnsi="Arial" w:cs="Arial"/>
          <w:lang w:val="fr"/>
        </w:rPr>
        <w:t xml:space="preserve">. Ce calendrier de communication de l’information est décrit dans le tableau ci-dessous. </w:t>
      </w:r>
    </w:p>
    <w:p w14:paraId="140C4636" w14:textId="77777777" w:rsidR="00EF0E1A" w:rsidRPr="00555AD3" w:rsidRDefault="00EF0E1A" w:rsidP="002D3AE6">
      <w:pPr>
        <w:spacing w:before="120" w:line="242" w:lineRule="atLeast"/>
        <w:rPr>
          <w:rFonts w:ascii="Arial" w:hAnsi="Arial" w:cs="Arial"/>
          <w:lang w:val="fr-CH"/>
        </w:rPr>
      </w:pPr>
    </w:p>
    <w:p w14:paraId="140C4637" w14:textId="77777777" w:rsidR="006F72AE" w:rsidRPr="00555AD3" w:rsidRDefault="00D1048C" w:rsidP="002D3AE6">
      <w:pPr>
        <w:spacing w:before="120" w:line="242" w:lineRule="atLeast"/>
        <w:rPr>
          <w:rFonts w:ascii="Arial" w:hAnsi="Arial" w:cs="Arial"/>
          <w:lang w:val="fr-CH"/>
        </w:rPr>
      </w:pPr>
      <w:r>
        <w:rPr>
          <w:rFonts w:ascii="Arial" w:hAnsi="Arial" w:cs="Arial"/>
          <w:b/>
          <w:bCs/>
          <w:lang w:val="fr"/>
        </w:rPr>
        <w:t xml:space="preserve">Suivi du cofinancement et communication de l’information pour la période d’allocation 2023-2025 </w:t>
      </w:r>
      <w:r>
        <w:rPr>
          <w:rFonts w:ascii="Arial" w:hAnsi="Arial" w:cs="Arial"/>
          <w:b/>
          <w:bCs/>
          <w:i/>
          <w:iCs/>
          <w:lang w:val="fr"/>
        </w:rPr>
        <w:t>(exemple)</w:t>
      </w:r>
    </w:p>
    <w:p w14:paraId="140C4638" w14:textId="77777777" w:rsidR="00D1048C" w:rsidRPr="00555AD3" w:rsidRDefault="00D1048C" w:rsidP="002D3AE6">
      <w:pPr>
        <w:spacing w:before="120" w:line="242" w:lineRule="atLeast"/>
        <w:rPr>
          <w:rFonts w:ascii="Arial" w:hAnsi="Arial" w:cs="Arial"/>
          <w:lang w:val="fr-CH"/>
        </w:rPr>
      </w:pPr>
    </w:p>
    <w:tbl>
      <w:tblPr>
        <w:tblW w:w="90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4"/>
        <w:gridCol w:w="5246"/>
      </w:tblGrid>
      <w:tr w:rsidR="00B64222" w:rsidRPr="00645766" w14:paraId="140C463B" w14:textId="77777777" w:rsidTr="00320AA0">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14:paraId="140C4639" w14:textId="77777777" w:rsidR="002D3AE6" w:rsidRPr="00D73717" w:rsidRDefault="002D3AE6" w:rsidP="00B64222">
            <w:pPr>
              <w:spacing w:before="120" w:line="242" w:lineRule="atLeast"/>
              <w:rPr>
                <w:rFonts w:ascii="Arial" w:hAnsi="Arial" w:cs="Arial"/>
                <w:b/>
                <w:bCs/>
                <w:sz w:val="20"/>
                <w:szCs w:val="20"/>
              </w:rPr>
            </w:pPr>
            <w:r>
              <w:rPr>
                <w:rFonts w:ascii="Arial" w:hAnsi="Arial" w:cs="Arial"/>
                <w:b/>
                <w:bCs/>
                <w:sz w:val="20"/>
                <w:szCs w:val="20"/>
                <w:lang w:val="fr"/>
              </w:rPr>
              <w:t>Date</w:t>
            </w:r>
          </w:p>
        </w:tc>
        <w:tc>
          <w:tcPr>
            <w:tcW w:w="5246" w:type="dxa"/>
            <w:tcBorders>
              <w:top w:val="single" w:sz="6" w:space="0" w:color="auto"/>
              <w:left w:val="single" w:sz="6" w:space="0" w:color="auto"/>
              <w:bottom w:val="single" w:sz="6" w:space="0" w:color="auto"/>
              <w:right w:val="single" w:sz="6" w:space="0" w:color="auto"/>
            </w:tcBorders>
            <w:shd w:val="clear" w:color="auto" w:fill="D9E2F3" w:themeFill="accent5" w:themeFillTint="33"/>
            <w:vAlign w:val="center"/>
            <w:hideMark/>
          </w:tcPr>
          <w:p w14:paraId="140C463A" w14:textId="77777777" w:rsidR="002D3AE6" w:rsidRPr="00D73717" w:rsidRDefault="002D3AE6" w:rsidP="00B64222">
            <w:pPr>
              <w:spacing w:before="120" w:line="242" w:lineRule="atLeast"/>
              <w:rPr>
                <w:rFonts w:ascii="Arial" w:hAnsi="Arial" w:cs="Arial"/>
                <w:b/>
                <w:bCs/>
                <w:sz w:val="20"/>
                <w:szCs w:val="20"/>
              </w:rPr>
            </w:pPr>
            <w:r>
              <w:rPr>
                <w:rFonts w:ascii="Arial" w:hAnsi="Arial" w:cs="Arial"/>
                <w:b/>
                <w:bCs/>
                <w:sz w:val="20"/>
                <w:szCs w:val="20"/>
                <w:lang w:val="fr"/>
              </w:rPr>
              <w:t>Informations requises (exemple)</w:t>
            </w:r>
          </w:p>
        </w:tc>
      </w:tr>
      <w:tr w:rsidR="00B64222" w:rsidRPr="00380990" w14:paraId="140C463E" w14:textId="77777777" w:rsidTr="00320AA0">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0C463C" w14:textId="77777777" w:rsidR="002D3AE6" w:rsidRPr="00D73717" w:rsidRDefault="006F72AE" w:rsidP="00B64222">
            <w:pPr>
              <w:spacing w:before="120" w:line="242" w:lineRule="atLeast"/>
              <w:rPr>
                <w:rFonts w:ascii="Arial" w:hAnsi="Arial" w:cs="Arial"/>
                <w:sz w:val="20"/>
                <w:szCs w:val="20"/>
              </w:rPr>
            </w:pPr>
            <w:r>
              <w:rPr>
                <w:rFonts w:ascii="Arial" w:hAnsi="Arial" w:cs="Arial"/>
                <w:sz w:val="20"/>
                <w:szCs w:val="20"/>
                <w:lang w:val="fr"/>
              </w:rPr>
              <w:t>Jour-mois-année</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0C463D" w14:textId="77777777" w:rsidR="002D3AE6" w:rsidRPr="00555AD3" w:rsidRDefault="002D3AE6" w:rsidP="00B64222">
            <w:pPr>
              <w:spacing w:before="120" w:line="242" w:lineRule="atLeast"/>
              <w:rPr>
                <w:rFonts w:ascii="Arial" w:hAnsi="Arial" w:cs="Arial"/>
                <w:sz w:val="20"/>
                <w:szCs w:val="20"/>
                <w:lang w:val="fr-CH"/>
              </w:rPr>
            </w:pPr>
            <w:r>
              <w:rPr>
                <w:rFonts w:ascii="Arial" w:hAnsi="Arial" w:cs="Arial"/>
                <w:sz w:val="20"/>
                <w:szCs w:val="20"/>
                <w:lang w:val="fr"/>
              </w:rPr>
              <w:t>Budget officiel du gouvernement approuvé et rapport sur la budgétisation des engagements de l’année 1</w:t>
            </w:r>
          </w:p>
        </w:tc>
      </w:tr>
      <w:tr w:rsidR="00BC60C8" w:rsidRPr="00380990" w14:paraId="140C4641" w14:textId="77777777" w:rsidTr="00DA7332">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140C463F" w14:textId="77777777" w:rsidR="00BC60C8" w:rsidRPr="00D73717" w:rsidRDefault="00BC60C8" w:rsidP="00BC60C8">
            <w:pPr>
              <w:spacing w:before="120" w:line="242" w:lineRule="atLeast"/>
              <w:rPr>
                <w:rFonts w:ascii="Arial" w:hAnsi="Arial" w:cs="Arial"/>
                <w:sz w:val="20"/>
                <w:szCs w:val="20"/>
              </w:rPr>
            </w:pPr>
            <w:r>
              <w:rPr>
                <w:rFonts w:ascii="Arial" w:hAnsi="Arial" w:cs="Arial"/>
                <w:sz w:val="20"/>
                <w:szCs w:val="20"/>
                <w:lang w:val="fr"/>
              </w:rPr>
              <w:t>Jour-mois-année</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0C4640" w14:textId="77777777" w:rsidR="00BC60C8" w:rsidRPr="00555AD3" w:rsidRDefault="00BC60C8" w:rsidP="00BC60C8">
            <w:pPr>
              <w:spacing w:before="120" w:line="242" w:lineRule="atLeast"/>
              <w:rPr>
                <w:rFonts w:ascii="Arial" w:hAnsi="Arial" w:cs="Arial"/>
                <w:sz w:val="20"/>
                <w:szCs w:val="20"/>
                <w:lang w:val="fr-CH"/>
              </w:rPr>
            </w:pPr>
            <w:r>
              <w:rPr>
                <w:rFonts w:ascii="Arial" w:hAnsi="Arial" w:cs="Arial"/>
                <w:sz w:val="20"/>
                <w:szCs w:val="20"/>
                <w:lang w:val="fr"/>
              </w:rPr>
              <w:t>Budget officiel du gouvernement approuvé et rapport sur la budgétisation des engagements de l’année 2</w:t>
            </w:r>
          </w:p>
        </w:tc>
      </w:tr>
      <w:tr w:rsidR="00BC60C8" w:rsidRPr="00380990" w14:paraId="140C4644" w14:textId="77777777" w:rsidTr="00DA7332">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140C4642" w14:textId="77777777" w:rsidR="00BC60C8" w:rsidRPr="00D73717" w:rsidRDefault="00BC60C8" w:rsidP="00BC60C8">
            <w:pPr>
              <w:spacing w:before="120" w:line="242" w:lineRule="atLeast"/>
              <w:rPr>
                <w:rFonts w:ascii="Arial" w:hAnsi="Arial" w:cs="Arial"/>
                <w:sz w:val="20"/>
                <w:szCs w:val="20"/>
              </w:rPr>
            </w:pPr>
            <w:r>
              <w:rPr>
                <w:rFonts w:ascii="Arial" w:hAnsi="Arial" w:cs="Arial"/>
                <w:sz w:val="20"/>
                <w:szCs w:val="20"/>
                <w:lang w:val="fr"/>
              </w:rPr>
              <w:t>Jour-mois-année</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0C4643" w14:textId="77777777" w:rsidR="00BC60C8" w:rsidRPr="00555AD3" w:rsidRDefault="00BC60C8" w:rsidP="00BC60C8">
            <w:pPr>
              <w:spacing w:before="120" w:line="242" w:lineRule="atLeast"/>
              <w:rPr>
                <w:rFonts w:ascii="Arial" w:hAnsi="Arial" w:cs="Arial"/>
                <w:sz w:val="20"/>
                <w:szCs w:val="20"/>
                <w:lang w:val="fr-CH"/>
              </w:rPr>
            </w:pPr>
            <w:r>
              <w:rPr>
                <w:rFonts w:ascii="Arial" w:hAnsi="Arial" w:cs="Arial"/>
                <w:sz w:val="20"/>
                <w:szCs w:val="20"/>
                <w:lang w:val="fr"/>
              </w:rPr>
              <w:t>Rapport de suivi du cofinancement sur l’exécution des engagements de l’année 1 ; bons de commande relatifs aux engagements programmatiques</w:t>
            </w:r>
          </w:p>
        </w:tc>
      </w:tr>
      <w:tr w:rsidR="00BC60C8" w:rsidRPr="00380990" w14:paraId="140C4647" w14:textId="77777777" w:rsidTr="00DA7332">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140C4645" w14:textId="77777777" w:rsidR="00BC60C8" w:rsidRPr="00D73717" w:rsidRDefault="00BC60C8" w:rsidP="00BC60C8">
            <w:pPr>
              <w:spacing w:before="120" w:line="242" w:lineRule="atLeast"/>
              <w:rPr>
                <w:rFonts w:ascii="Arial" w:hAnsi="Arial" w:cs="Arial"/>
                <w:sz w:val="20"/>
                <w:szCs w:val="20"/>
              </w:rPr>
            </w:pPr>
            <w:r>
              <w:rPr>
                <w:rFonts w:ascii="Arial" w:hAnsi="Arial" w:cs="Arial"/>
                <w:sz w:val="20"/>
                <w:szCs w:val="20"/>
                <w:lang w:val="fr"/>
              </w:rPr>
              <w:t>Jour-mois-année</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0C4646" w14:textId="77777777" w:rsidR="00BC60C8" w:rsidRPr="00555AD3" w:rsidRDefault="00BC60C8" w:rsidP="00BC60C8">
            <w:pPr>
              <w:spacing w:before="120" w:line="242" w:lineRule="atLeast"/>
              <w:rPr>
                <w:rFonts w:ascii="Arial" w:hAnsi="Arial" w:cs="Arial"/>
                <w:sz w:val="20"/>
                <w:szCs w:val="20"/>
                <w:lang w:val="fr-CH"/>
              </w:rPr>
            </w:pPr>
            <w:r>
              <w:rPr>
                <w:rFonts w:ascii="Arial" w:hAnsi="Arial" w:cs="Arial"/>
                <w:sz w:val="20"/>
                <w:szCs w:val="20"/>
                <w:lang w:val="fr"/>
              </w:rPr>
              <w:t>Budget officiel du gouvernement approuvé et rapport sur la budgétisation des engagements de l’année 3</w:t>
            </w:r>
          </w:p>
        </w:tc>
      </w:tr>
      <w:tr w:rsidR="00BC60C8" w:rsidRPr="00380990" w14:paraId="140C464A" w14:textId="77777777" w:rsidTr="00DA7332">
        <w:trPr>
          <w:trHeight w:val="123"/>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140C4648" w14:textId="77777777" w:rsidR="00BC60C8" w:rsidRPr="00D73717" w:rsidRDefault="00BC60C8" w:rsidP="00BC60C8">
            <w:pPr>
              <w:spacing w:before="120" w:line="242" w:lineRule="atLeast"/>
              <w:rPr>
                <w:rFonts w:ascii="Arial" w:hAnsi="Arial" w:cs="Arial"/>
                <w:sz w:val="20"/>
                <w:szCs w:val="20"/>
              </w:rPr>
            </w:pPr>
            <w:r>
              <w:rPr>
                <w:rFonts w:ascii="Arial" w:hAnsi="Arial" w:cs="Arial"/>
                <w:sz w:val="20"/>
                <w:szCs w:val="20"/>
                <w:lang w:val="fr"/>
              </w:rPr>
              <w:t>Jour-mois-année</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0C4649" w14:textId="77777777" w:rsidR="00BC60C8" w:rsidRPr="00555AD3" w:rsidRDefault="00BC60C8" w:rsidP="00BC60C8">
            <w:pPr>
              <w:spacing w:before="120" w:line="242" w:lineRule="atLeast"/>
              <w:rPr>
                <w:rFonts w:ascii="Arial" w:hAnsi="Arial" w:cs="Arial"/>
                <w:sz w:val="20"/>
                <w:szCs w:val="20"/>
                <w:lang w:val="fr-CH"/>
              </w:rPr>
            </w:pPr>
            <w:r>
              <w:rPr>
                <w:rFonts w:ascii="Arial" w:hAnsi="Arial" w:cs="Arial"/>
                <w:sz w:val="20"/>
                <w:szCs w:val="20"/>
                <w:lang w:val="fr"/>
              </w:rPr>
              <w:t>Rapport de suivi du cofinancement sur l’exécution des engagements de l’année 2 ; bons de commande relatifs aux engagements programmatiques</w:t>
            </w:r>
          </w:p>
        </w:tc>
      </w:tr>
      <w:tr w:rsidR="00BC60C8" w:rsidRPr="00380990" w14:paraId="140C464D" w14:textId="77777777" w:rsidTr="00DA7332">
        <w:trPr>
          <w:trHeight w:val="10"/>
        </w:trPr>
        <w:tc>
          <w:tcPr>
            <w:tcW w:w="3784" w:type="dxa"/>
            <w:tcBorders>
              <w:top w:val="single" w:sz="6" w:space="0" w:color="auto"/>
              <w:left w:val="single" w:sz="6" w:space="0" w:color="auto"/>
              <w:bottom w:val="single" w:sz="6" w:space="0" w:color="auto"/>
              <w:right w:val="single" w:sz="6" w:space="0" w:color="auto"/>
            </w:tcBorders>
            <w:shd w:val="clear" w:color="auto" w:fill="auto"/>
            <w:hideMark/>
          </w:tcPr>
          <w:p w14:paraId="140C464B" w14:textId="77777777" w:rsidR="00BC60C8" w:rsidRPr="00D73717" w:rsidRDefault="00BC60C8" w:rsidP="00BC60C8">
            <w:pPr>
              <w:spacing w:before="120" w:line="242" w:lineRule="atLeast"/>
              <w:rPr>
                <w:rFonts w:ascii="Arial" w:hAnsi="Arial" w:cs="Arial"/>
                <w:sz w:val="20"/>
                <w:szCs w:val="20"/>
              </w:rPr>
            </w:pPr>
            <w:r>
              <w:rPr>
                <w:rFonts w:ascii="Arial" w:hAnsi="Arial" w:cs="Arial"/>
                <w:sz w:val="20"/>
                <w:szCs w:val="20"/>
                <w:lang w:val="fr"/>
              </w:rPr>
              <w:t>Jour-mois-année</w:t>
            </w:r>
          </w:p>
        </w:tc>
        <w:tc>
          <w:tcPr>
            <w:tcW w:w="524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0C464C" w14:textId="77777777" w:rsidR="00BC60C8" w:rsidRPr="00555AD3" w:rsidRDefault="00BC60C8" w:rsidP="00BC60C8">
            <w:pPr>
              <w:spacing w:before="120" w:line="242" w:lineRule="atLeast"/>
              <w:rPr>
                <w:rFonts w:ascii="Arial" w:hAnsi="Arial" w:cs="Arial"/>
                <w:sz w:val="20"/>
                <w:szCs w:val="20"/>
                <w:lang w:val="fr-CH"/>
              </w:rPr>
            </w:pPr>
            <w:r>
              <w:rPr>
                <w:rFonts w:ascii="Arial" w:hAnsi="Arial" w:cs="Arial"/>
                <w:sz w:val="20"/>
                <w:szCs w:val="20"/>
                <w:lang w:val="fr"/>
              </w:rPr>
              <w:t>Rapport de suivi du cofinancement sur l’exécution des engagements de l’année 3 ; bons de commande relatifs aux engagements programmatiques</w:t>
            </w:r>
          </w:p>
        </w:tc>
      </w:tr>
    </w:tbl>
    <w:p w14:paraId="7FDE766B" w14:textId="26E37837" w:rsidR="00380990" w:rsidRDefault="00CF19A1" w:rsidP="00F96E51">
      <w:pPr>
        <w:spacing w:before="120" w:line="242" w:lineRule="atLeast"/>
        <w:rPr>
          <w:rFonts w:ascii="Arial" w:hAnsi="Arial" w:cs="Arial"/>
          <w:lang w:val="fr"/>
        </w:rPr>
      </w:pPr>
      <w:r>
        <w:rPr>
          <w:rFonts w:ascii="Arial" w:hAnsi="Arial" w:cs="Arial"/>
          <w:lang w:val="fr"/>
        </w:rPr>
        <w:t xml:space="preserve">Nous reconnaissons et acceptons que le non-respect par </w:t>
      </w:r>
      <w:r>
        <w:rPr>
          <w:rFonts w:ascii="Arial" w:hAnsi="Arial" w:cs="Arial"/>
          <w:highlight w:val="yellow"/>
          <w:lang w:val="fr"/>
        </w:rPr>
        <w:t>[le pays]</w:t>
      </w:r>
      <w:r>
        <w:rPr>
          <w:rFonts w:ascii="Arial" w:hAnsi="Arial" w:cs="Arial"/>
          <w:lang w:val="fr"/>
        </w:rPr>
        <w:t xml:space="preserve"> de ces engagements de cofinancement pour la période d’allocation 2023-2025 peut entraîner la réduction par le Fonds mondial de la somme allouée pour les subventions existantes et/ou les subventions pour la période d’allocation </w:t>
      </w:r>
      <w:r w:rsidRPr="00380990">
        <w:rPr>
          <w:rFonts w:ascii="Arial" w:hAnsi="Arial" w:cs="Arial"/>
          <w:lang w:val="fr"/>
        </w:rPr>
        <w:t>2026</w:t>
      </w:r>
      <w:r>
        <w:rPr>
          <w:rFonts w:ascii="Arial" w:hAnsi="Arial" w:cs="Arial"/>
          <w:lang w:val="fr"/>
        </w:rPr>
        <w:t>-2028 (le cas échéant).</w:t>
      </w:r>
    </w:p>
    <w:p w14:paraId="6A59E31B" w14:textId="291E69D8" w:rsidR="00380990" w:rsidRPr="00380990" w:rsidRDefault="00380990" w:rsidP="00F96E51">
      <w:pPr>
        <w:spacing w:before="120" w:line="242" w:lineRule="atLeast"/>
        <w:rPr>
          <w:rFonts w:ascii="Arial" w:hAnsi="Arial" w:cs="Arial"/>
          <w:lang w:val="fr"/>
        </w:rPr>
      </w:pPr>
      <w:r w:rsidRPr="003E676C">
        <w:rPr>
          <w:rFonts w:ascii="Arial" w:hAnsi="Arial" w:cs="Arial"/>
          <w:lang w:val="fr"/>
        </w:rPr>
        <w:lastRenderedPageBreak/>
        <w:t>Nous reconnaissons et acceptons également que le Fonds mondial est en droit de publier et de diffuser librement le contenu de la présente lettre (et ses pièces jointes) sans restriction.</w:t>
      </w:r>
    </w:p>
    <w:p w14:paraId="140C464F" w14:textId="77777777" w:rsidR="00DF30D3" w:rsidRPr="00555AD3" w:rsidRDefault="00DF30D3" w:rsidP="00F96E51">
      <w:pPr>
        <w:spacing w:before="120" w:line="242" w:lineRule="atLeast"/>
        <w:rPr>
          <w:rFonts w:ascii="Arial" w:eastAsia="Times New Roman" w:hAnsi="Arial" w:cs="Arial"/>
          <w:lang w:val="fr-CH"/>
        </w:rPr>
      </w:pPr>
      <w:r>
        <w:rPr>
          <w:rFonts w:ascii="Arial" w:eastAsia="Times New Roman" w:hAnsi="Arial" w:cs="Arial"/>
          <w:lang w:val="fr"/>
        </w:rPr>
        <w:t>En outre, nous continuerons à travailler avec l’équipe de pays du Fonds mondial et les spécialistes du financement de la santé pour évaluer nos réussites à ce jour en ce qui concerne le respect de nos engagements de cofinancement au cours de la période d’allocation 2020-2022 actuelle.</w:t>
      </w:r>
    </w:p>
    <w:p w14:paraId="140C4650" w14:textId="77777777" w:rsidR="00DF30D3" w:rsidRPr="00555AD3" w:rsidRDefault="00DF30D3" w:rsidP="00F96E51">
      <w:pPr>
        <w:spacing w:before="120" w:line="242" w:lineRule="atLeast"/>
        <w:rPr>
          <w:rFonts w:ascii="Arial" w:hAnsi="Arial" w:cs="Arial"/>
          <w:lang w:val="fr-CH"/>
        </w:rPr>
      </w:pPr>
    </w:p>
    <w:p w14:paraId="140C4651" w14:textId="77777777" w:rsidR="00632E1F" w:rsidRPr="00555AD3" w:rsidRDefault="00E8739A" w:rsidP="00333D33">
      <w:pPr>
        <w:spacing w:line="242" w:lineRule="atLeast"/>
        <w:rPr>
          <w:rFonts w:ascii="Arial" w:eastAsia="Times New Roman" w:hAnsi="Arial" w:cs="Arial"/>
          <w:lang w:val="fr-CH"/>
        </w:rPr>
      </w:pPr>
      <w:r>
        <w:rPr>
          <w:rFonts w:ascii="Arial" w:eastAsia="Times New Roman" w:hAnsi="Arial" w:cs="Arial"/>
          <w:lang w:val="fr"/>
        </w:rPr>
        <w:t>Veuillez agréer l'expression de nos salutations distinguées,</w:t>
      </w:r>
    </w:p>
    <w:p w14:paraId="140C4652" w14:textId="77777777" w:rsidR="006F72AE" w:rsidRPr="00555AD3" w:rsidRDefault="006F72AE" w:rsidP="00333D33">
      <w:pPr>
        <w:spacing w:line="242" w:lineRule="atLeast"/>
        <w:rPr>
          <w:rFonts w:ascii="Arial" w:eastAsia="Times New Roman" w:hAnsi="Arial" w:cs="Arial"/>
          <w:lang w:val="fr-CH"/>
        </w:rPr>
      </w:pPr>
    </w:p>
    <w:p w14:paraId="140C4653" w14:textId="77777777" w:rsidR="00320AA0" w:rsidRPr="00555AD3" w:rsidRDefault="00320AA0" w:rsidP="00333D33">
      <w:pPr>
        <w:spacing w:line="242" w:lineRule="atLeast"/>
        <w:rPr>
          <w:rFonts w:ascii="Arial" w:eastAsia="Times New Roman" w:hAnsi="Arial" w:cs="Arial"/>
          <w:lang w:val="fr-CH"/>
        </w:rPr>
      </w:pPr>
    </w:p>
    <w:p w14:paraId="140C4654" w14:textId="77777777" w:rsidR="00A77F59" w:rsidRPr="00555AD3" w:rsidRDefault="00A77F59" w:rsidP="00333D33">
      <w:pPr>
        <w:spacing w:line="242" w:lineRule="atLeast"/>
        <w:rPr>
          <w:rFonts w:ascii="Arial" w:eastAsia="Times New Roman" w:hAnsi="Arial" w:cs="Arial"/>
          <w:lang w:val="fr-CH"/>
        </w:rPr>
      </w:pPr>
    </w:p>
    <w:p w14:paraId="140C4655" w14:textId="77777777" w:rsidR="00EF0E1A" w:rsidRPr="00555AD3" w:rsidRDefault="00EF0E1A" w:rsidP="00333D33">
      <w:pPr>
        <w:spacing w:line="242" w:lineRule="atLeast"/>
        <w:rPr>
          <w:rFonts w:ascii="Arial" w:eastAsia="Times New Roman" w:hAnsi="Arial" w:cs="Arial"/>
          <w:lang w:val="fr-CH"/>
        </w:rPr>
      </w:pPr>
    </w:p>
    <w:p w14:paraId="140C4656" w14:textId="77777777" w:rsidR="00333D33" w:rsidRPr="00555AD3" w:rsidRDefault="00A371C5" w:rsidP="00333D33">
      <w:pPr>
        <w:spacing w:line="242" w:lineRule="atLeast"/>
        <w:rPr>
          <w:rFonts w:ascii="Arial" w:eastAsia="Times New Roman" w:hAnsi="Arial" w:cs="Arial"/>
          <w:lang w:val="fr-CH"/>
        </w:rPr>
      </w:pPr>
      <w:r>
        <w:rPr>
          <w:rFonts w:ascii="Arial" w:eastAsia="Times New Roman" w:hAnsi="Arial" w:cs="Arial"/>
          <w:lang w:val="fr"/>
        </w:rPr>
        <w:t xml:space="preserve">Signature de </w:t>
      </w:r>
      <w:r>
        <w:rPr>
          <w:rFonts w:ascii="Arial" w:eastAsia="Times New Roman" w:hAnsi="Arial" w:cs="Arial"/>
          <w:highlight w:val="yellow"/>
          <w:lang w:val="fr"/>
        </w:rPr>
        <w:t>[l’autorité investie du pouvoir de décision en matière de budget, par exemple le ministère des Finances ou l’autorité budgétaire]</w:t>
      </w:r>
    </w:p>
    <w:p w14:paraId="140C4657" w14:textId="77777777" w:rsidR="00333D33" w:rsidRPr="00555AD3" w:rsidRDefault="00A371C5" w:rsidP="00333D33">
      <w:pPr>
        <w:spacing w:line="242" w:lineRule="atLeast"/>
        <w:rPr>
          <w:rFonts w:ascii="Arial" w:eastAsia="Times New Roman" w:hAnsi="Arial" w:cs="Arial"/>
          <w:lang w:val="fr-CH"/>
        </w:rPr>
      </w:pPr>
      <w:r>
        <w:rPr>
          <w:rFonts w:ascii="Arial" w:eastAsia="Times New Roman" w:hAnsi="Arial" w:cs="Arial"/>
          <w:lang w:val="fr"/>
        </w:rPr>
        <w:t>Cosignataire du ministère de la Santé et/ou d’autres autorités (le cas échéant)</w:t>
      </w:r>
    </w:p>
    <w:p w14:paraId="140C4658" w14:textId="77777777" w:rsidR="00EF0E1A" w:rsidRPr="00555AD3" w:rsidRDefault="00EF0E1A" w:rsidP="00333D33">
      <w:pPr>
        <w:spacing w:line="242" w:lineRule="atLeast"/>
        <w:rPr>
          <w:rFonts w:ascii="Arial" w:eastAsia="Times New Roman" w:hAnsi="Arial" w:cs="Arial"/>
          <w:lang w:val="fr-CH"/>
        </w:rPr>
      </w:pPr>
    </w:p>
    <w:p w14:paraId="140C4659" w14:textId="77777777" w:rsidR="00EF0E1A" w:rsidRPr="00555AD3" w:rsidRDefault="00EF0E1A" w:rsidP="00333D33">
      <w:pPr>
        <w:spacing w:line="242" w:lineRule="atLeast"/>
        <w:rPr>
          <w:rFonts w:ascii="Arial" w:eastAsia="Times New Roman" w:hAnsi="Arial" w:cs="Arial"/>
          <w:lang w:val="fr-CH"/>
        </w:rPr>
      </w:pPr>
    </w:p>
    <w:p w14:paraId="140C465A" w14:textId="77777777" w:rsidR="00EF0E1A" w:rsidRPr="00555AD3" w:rsidRDefault="00EF0E1A" w:rsidP="00333D33">
      <w:pPr>
        <w:spacing w:line="242" w:lineRule="atLeast"/>
        <w:rPr>
          <w:rFonts w:ascii="Arial" w:eastAsia="Times New Roman" w:hAnsi="Arial" w:cs="Arial"/>
          <w:lang w:val="fr-CH"/>
        </w:rPr>
      </w:pPr>
    </w:p>
    <w:p w14:paraId="140C465B" w14:textId="77777777" w:rsidR="0088751F" w:rsidRPr="00555AD3" w:rsidRDefault="00B92521" w:rsidP="00333D33">
      <w:pPr>
        <w:spacing w:line="242" w:lineRule="atLeast"/>
        <w:rPr>
          <w:rFonts w:ascii="Arial" w:eastAsia="Times New Roman" w:hAnsi="Arial" w:cs="Arial"/>
          <w:lang w:val="fr-CH"/>
        </w:rPr>
      </w:pPr>
      <w:r>
        <w:rPr>
          <w:rFonts w:ascii="Arial" w:eastAsia="Times New Roman" w:hAnsi="Arial" w:cs="Arial"/>
          <w:lang w:val="fr"/>
        </w:rPr>
        <w:tab/>
      </w:r>
      <w:r>
        <w:rPr>
          <w:rFonts w:ascii="Arial" w:eastAsia="Times New Roman" w:hAnsi="Arial" w:cs="Arial"/>
          <w:lang w:val="fr"/>
        </w:rPr>
        <w:tab/>
      </w:r>
    </w:p>
    <w:p w14:paraId="140C465C" w14:textId="77777777" w:rsidR="0054411B" w:rsidRPr="00555AD3" w:rsidRDefault="21ED58C7" w:rsidP="006F72AE">
      <w:pPr>
        <w:rPr>
          <w:rFonts w:ascii="Arial" w:eastAsia="Times New Roman" w:hAnsi="Arial" w:cs="Arial"/>
          <w:lang w:val="fr-CH"/>
        </w:rPr>
      </w:pPr>
      <w:r>
        <w:rPr>
          <w:rFonts w:ascii="Arial" w:eastAsia="Times New Roman" w:hAnsi="Arial" w:cs="Arial"/>
          <w:b/>
          <w:bCs/>
          <w:lang w:val="fr"/>
        </w:rPr>
        <w:t>ANNEXES (exemple) :</w:t>
      </w:r>
      <w:r>
        <w:rPr>
          <w:rFonts w:ascii="Arial" w:eastAsia="Times New Roman" w:hAnsi="Arial" w:cs="Arial"/>
          <w:lang w:val="fr"/>
        </w:rPr>
        <w:t xml:space="preserve"> Informations supplémentaires sur les engagements pour la nouvelle subvention et la performance dans le cadre de la subvention actuelle, telles que :</w:t>
      </w:r>
    </w:p>
    <w:p w14:paraId="140C465D" w14:textId="77777777" w:rsidR="006F72AE" w:rsidRPr="00555AD3" w:rsidRDefault="006F72AE" w:rsidP="006F72AE">
      <w:pPr>
        <w:pStyle w:val="ListParagraph"/>
        <w:numPr>
          <w:ilvl w:val="0"/>
          <w:numId w:val="17"/>
        </w:numPr>
        <w:spacing w:before="0" w:beforeAutospacing="0" w:after="0" w:afterAutospacing="0"/>
        <w:rPr>
          <w:rFonts w:ascii="Arial" w:hAnsi="Arial" w:cs="Arial"/>
          <w:sz w:val="22"/>
          <w:szCs w:val="22"/>
          <w:lang w:val="fr-CH"/>
        </w:rPr>
      </w:pPr>
      <w:r>
        <w:rPr>
          <w:rFonts w:ascii="Arial" w:hAnsi="Arial" w:cs="Arial"/>
          <w:sz w:val="22"/>
          <w:szCs w:val="22"/>
          <w:lang w:val="fr"/>
        </w:rPr>
        <w:t xml:space="preserve">Documents relatifs aux engagements pour la période d’allocation 2023-2025 (budgets du ministère pour des engagements spécifiques ; prévisions en matière de produits de santé, etc.) </w:t>
      </w:r>
    </w:p>
    <w:p w14:paraId="140C465E" w14:textId="77777777" w:rsidR="49CDE75C" w:rsidRPr="00555AD3" w:rsidRDefault="006F72AE" w:rsidP="006F72AE">
      <w:pPr>
        <w:pStyle w:val="ListParagraph"/>
        <w:numPr>
          <w:ilvl w:val="0"/>
          <w:numId w:val="17"/>
        </w:numPr>
        <w:spacing w:before="0" w:beforeAutospacing="0" w:after="0" w:afterAutospacing="0"/>
        <w:rPr>
          <w:rFonts w:ascii="Arial" w:hAnsi="Arial" w:cs="Arial"/>
          <w:sz w:val="22"/>
          <w:szCs w:val="22"/>
          <w:lang w:val="fr-CH"/>
        </w:rPr>
      </w:pPr>
      <w:r>
        <w:rPr>
          <w:rFonts w:ascii="Arial" w:hAnsi="Arial" w:cs="Arial"/>
          <w:sz w:val="22"/>
          <w:szCs w:val="22"/>
          <w:lang w:val="fr"/>
        </w:rPr>
        <w:t>Tableaux détaillés présentant les données actuelles sur les dépenses pour chaque année de la subvention en cours pour les programmes pertinents ou les engagements spécifiques</w:t>
      </w:r>
      <w:bookmarkEnd w:id="0"/>
    </w:p>
    <w:p w14:paraId="140C465F" w14:textId="77777777" w:rsidR="3E1FCAEC" w:rsidRPr="00555AD3" w:rsidRDefault="3E1FCAEC" w:rsidP="3E1FCAEC">
      <w:pPr>
        <w:spacing w:line="242" w:lineRule="atLeast"/>
        <w:rPr>
          <w:rFonts w:ascii="Arial" w:eastAsia="Times New Roman" w:hAnsi="Arial" w:cs="Arial"/>
          <w:lang w:val="fr-CH"/>
        </w:rPr>
      </w:pPr>
    </w:p>
    <w:p w14:paraId="140C4660" w14:textId="77777777" w:rsidR="004F3884" w:rsidRPr="00555AD3" w:rsidRDefault="004F3884">
      <w:pPr>
        <w:spacing w:after="160" w:line="259" w:lineRule="auto"/>
        <w:rPr>
          <w:rFonts w:ascii="Arial" w:eastAsia="Times New Roman" w:hAnsi="Arial" w:cs="Arial"/>
          <w:lang w:val="fr-CH"/>
        </w:rPr>
      </w:pPr>
      <w:r>
        <w:rPr>
          <w:rFonts w:ascii="Arial" w:eastAsia="Times New Roman" w:hAnsi="Arial" w:cs="Arial"/>
          <w:lang w:val="fr"/>
        </w:rPr>
        <w:br w:type="page"/>
      </w:r>
    </w:p>
    <w:p w14:paraId="140C4661" w14:textId="77777777" w:rsidR="004F3884" w:rsidRPr="00555AD3" w:rsidRDefault="00E37CF1" w:rsidP="004449C2">
      <w:pPr>
        <w:spacing w:after="120"/>
        <w:rPr>
          <w:rFonts w:ascii="Arial" w:eastAsia="Times New Roman" w:hAnsi="Arial" w:cs="Arial"/>
          <w:b/>
          <w:bCs/>
          <w:lang w:val="fr-CH"/>
        </w:rPr>
      </w:pPr>
      <w:r>
        <w:rPr>
          <w:rFonts w:ascii="Arial" w:eastAsia="Times New Roman" w:hAnsi="Arial" w:cs="Arial"/>
          <w:b/>
          <w:bCs/>
          <w:lang w:val="fr"/>
        </w:rPr>
        <w:lastRenderedPageBreak/>
        <w:t>Annexe : Orientations pour le document type de la lettre d’engagement</w:t>
      </w:r>
    </w:p>
    <w:p w14:paraId="140C4662" w14:textId="77777777" w:rsidR="00BC6D44" w:rsidRPr="00555AD3" w:rsidRDefault="00607BA6" w:rsidP="004449C2">
      <w:pPr>
        <w:pStyle w:val="ListParagraph"/>
        <w:numPr>
          <w:ilvl w:val="0"/>
          <w:numId w:val="13"/>
        </w:numPr>
        <w:spacing w:after="120" w:afterAutospacing="0"/>
        <w:rPr>
          <w:rFonts w:ascii="Arial" w:hAnsi="Arial" w:cs="Arial"/>
          <w:sz w:val="22"/>
          <w:szCs w:val="22"/>
          <w:lang w:val="fr-CH"/>
        </w:rPr>
      </w:pPr>
      <w:r>
        <w:rPr>
          <w:rFonts w:ascii="Arial" w:hAnsi="Arial" w:cs="Arial"/>
          <w:sz w:val="22"/>
          <w:szCs w:val="22"/>
          <w:lang w:val="fr"/>
        </w:rPr>
        <w:t>Il est fortement recommandé que la lettre d’engagement soit présentée sur papier à en-tête officiel du titulaire du budget concerné.</w:t>
      </w:r>
    </w:p>
    <w:p w14:paraId="140C4663" w14:textId="77777777" w:rsidR="00607BA6" w:rsidRPr="00555AD3" w:rsidRDefault="008E5A7E" w:rsidP="004449C2">
      <w:pPr>
        <w:pStyle w:val="ListParagraph"/>
        <w:numPr>
          <w:ilvl w:val="0"/>
          <w:numId w:val="13"/>
        </w:numPr>
        <w:spacing w:after="120" w:afterAutospacing="0"/>
        <w:rPr>
          <w:rFonts w:ascii="Arial" w:hAnsi="Arial" w:cs="Arial"/>
          <w:sz w:val="22"/>
          <w:szCs w:val="22"/>
          <w:lang w:val="fr-CH"/>
        </w:rPr>
      </w:pPr>
      <w:r>
        <w:rPr>
          <w:rFonts w:ascii="Arial" w:hAnsi="Arial" w:cs="Arial"/>
          <w:sz w:val="22"/>
          <w:szCs w:val="22"/>
          <w:lang w:val="fr"/>
        </w:rPr>
        <w:t xml:space="preserve">Par souci de clarté et afin de renforcer la compréhension mutuelle, nous recommandons aux pays d’utiliser ce document type pour leurs lettres d’engagement. Si cela n’est pas possible, toutefois, nous mentionnons qu’une lettre d’engagement doit contenir les informations demandées aux sections 1.1 et 1.2. Les gouvernements doivent également s’engager à fournir au Fonds mondial des documents vérifiables et fiables et des éléments probants sur les dépenses des fonds nationaux ou, lorsque les chiffres relatifs aux dépenses ne sont pas encore disponibles, les derniers montants budgétisés. En outre, une lettre d’engagement doit être signée par une autorité budgétaire compétente. Bien qu’il soit nécessaire d’adapter les lettres d’engagement en fonction du contexte du pays, nous recommandons de suivre autant que possible le document type inclus ici. </w:t>
      </w:r>
    </w:p>
    <w:p w14:paraId="140C4664" w14:textId="77777777" w:rsidR="00860FC8" w:rsidRPr="00555AD3" w:rsidRDefault="00860FC8" w:rsidP="004449C2">
      <w:pPr>
        <w:pStyle w:val="ListParagraph"/>
        <w:numPr>
          <w:ilvl w:val="0"/>
          <w:numId w:val="13"/>
        </w:numPr>
        <w:spacing w:after="120" w:afterAutospacing="0"/>
        <w:rPr>
          <w:rFonts w:ascii="Arial" w:hAnsi="Arial" w:cs="Arial"/>
          <w:sz w:val="22"/>
          <w:szCs w:val="22"/>
          <w:lang w:val="fr-CH"/>
        </w:rPr>
      </w:pPr>
      <w:r>
        <w:rPr>
          <w:rFonts w:ascii="Arial" w:hAnsi="Arial" w:cs="Arial"/>
          <w:sz w:val="22"/>
          <w:szCs w:val="22"/>
          <w:lang w:val="fr"/>
        </w:rPr>
        <w:t xml:space="preserve">Pour la section 1.3 (engagements programmatiques spécifiques), veuillez indiquer les principaux engagements programmatiques vers lesquels le pays orientera les dépenses nationales, comme discuté dans le cadre du dialogue avec le Fonds mondial. Les dépenses peuvent inclure les médicaments, les diagnostics, les moustiquaires, les services destinés aux populations clés et vulnérables, les agents de santé communautaires, la prévention du VIH, etc. Il ne doit pas s’agir de la totalité des dépenses nationales pour les trois maladies et les SRPS, comme décrit dans les engagements globaux de cofinancement (section 1.2). </w:t>
      </w:r>
    </w:p>
    <w:p w14:paraId="140C4665" w14:textId="77777777" w:rsidR="00075571" w:rsidRPr="00555AD3" w:rsidRDefault="00075571" w:rsidP="00075571">
      <w:pPr>
        <w:pStyle w:val="ListParagraph"/>
        <w:numPr>
          <w:ilvl w:val="0"/>
          <w:numId w:val="13"/>
        </w:numPr>
        <w:spacing w:after="120" w:afterAutospacing="0"/>
        <w:rPr>
          <w:rFonts w:ascii="Arial" w:hAnsi="Arial" w:cs="Arial"/>
          <w:sz w:val="22"/>
          <w:szCs w:val="22"/>
          <w:lang w:val="fr-CH"/>
        </w:rPr>
      </w:pPr>
      <w:r>
        <w:rPr>
          <w:rFonts w:ascii="Arial" w:hAnsi="Arial" w:cs="Arial"/>
          <w:sz w:val="22"/>
          <w:szCs w:val="22"/>
          <w:lang w:val="fr"/>
        </w:rPr>
        <w:t xml:space="preserve">Comme demandé dans le document type, veuillez énumérer et joindre des copies des documents sources pertinents qui sont disponibles au moment où la lettre d’engagement est finalisée et envoyée au Fonds mondial. Le Fonds mondial examinera attentivement ces documents et souhaitera peut-être examiner avec le pays la qualité et l’actualité des principales sources de données sur les budgets et les dépenses qui seront fournies régulièrement au Fonds mondial au cours de la mise en œuvre de la subvention. </w:t>
      </w:r>
    </w:p>
    <w:p w14:paraId="140C4666" w14:textId="77777777" w:rsidR="00E37CF1" w:rsidRPr="00555AD3" w:rsidRDefault="00B22CEA" w:rsidP="00E37CF1">
      <w:pPr>
        <w:pStyle w:val="ListParagraph"/>
        <w:numPr>
          <w:ilvl w:val="0"/>
          <w:numId w:val="13"/>
        </w:numPr>
        <w:spacing w:after="120" w:afterAutospacing="0"/>
        <w:rPr>
          <w:rFonts w:ascii="Arial" w:hAnsi="Arial" w:cs="Arial"/>
          <w:sz w:val="22"/>
          <w:szCs w:val="22"/>
          <w:lang w:val="fr-CH"/>
        </w:rPr>
      </w:pPr>
      <w:r>
        <w:rPr>
          <w:rFonts w:ascii="Arial" w:hAnsi="Arial" w:cs="Arial"/>
          <w:sz w:val="22"/>
          <w:szCs w:val="22"/>
          <w:lang w:val="fr"/>
        </w:rPr>
        <w:t>Le tableau décrit à la section 2 (Suivi et communication de l’information) est fourni à titre d’exemple. Chaque pays doit insérer son propre tableau, basé sur son calendrier budgétaire et une évaluation réaliste de la rapidité avec laquelle il peut communiquer et fournir les informations dans les colonnes « sources » décrites ci-dessus pour les engagements de cofinancement et les engagements programmatiques spécifiques.</w:t>
      </w:r>
    </w:p>
    <w:p w14:paraId="140C4667" w14:textId="77777777" w:rsidR="00756CAB" w:rsidRPr="00555AD3" w:rsidRDefault="00756CAB" w:rsidP="005223F6">
      <w:pPr>
        <w:spacing w:after="120"/>
        <w:rPr>
          <w:rFonts w:ascii="Arial" w:hAnsi="Arial" w:cs="Arial"/>
          <w:lang w:val="fr-CH"/>
        </w:rPr>
      </w:pPr>
    </w:p>
    <w:sectPr w:rsidR="00756CAB" w:rsidRPr="00555AD3" w:rsidSect="0082258E">
      <w:headerReference w:type="default" r:id="rId11"/>
      <w:footerReference w:type="even" r:id="rId12"/>
      <w:footerReference w:type="default" r:id="rId13"/>
      <w:pgSz w:w="11906" w:h="16838"/>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C466B" w14:textId="77777777" w:rsidR="00631C24" w:rsidRDefault="00631C24" w:rsidP="00896475">
      <w:r>
        <w:separator/>
      </w:r>
    </w:p>
  </w:endnote>
  <w:endnote w:type="continuationSeparator" w:id="0">
    <w:p w14:paraId="140C466C" w14:textId="77777777" w:rsidR="00631C24" w:rsidRDefault="00631C24" w:rsidP="00896475">
      <w:r>
        <w:continuationSeparator/>
      </w:r>
    </w:p>
  </w:endnote>
  <w:endnote w:type="continuationNotice" w:id="1">
    <w:p w14:paraId="140C466D" w14:textId="77777777" w:rsidR="00631C24" w:rsidRDefault="00631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466F" w14:textId="77777777" w:rsidR="0019687F" w:rsidRDefault="0019687F">
    <w:pPr>
      <w:pStyle w:val="Footer"/>
      <w:framePr w:wrap="none" w:vAnchor="text" w:hAnchor="margin" w:xAlign="right" w:y="1"/>
      <w:rPr>
        <w:rStyle w:val="PageNumber"/>
      </w:rPr>
    </w:pP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3</w:t>
    </w:r>
    <w:r>
      <w:rPr>
        <w:rStyle w:val="PageNumber"/>
        <w:lang w:val="fr"/>
      </w:rPr>
      <w:fldChar w:fldCharType="end"/>
    </w:r>
  </w:p>
  <w:p w14:paraId="140C4670" w14:textId="77777777" w:rsidR="0019687F" w:rsidRDefault="0019687F" w:rsidP="001968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4025624"/>
      <w:docPartObj>
        <w:docPartGallery w:val="Page Numbers (Bottom of Page)"/>
        <w:docPartUnique/>
      </w:docPartObj>
    </w:sdtPr>
    <w:sdtEndPr>
      <w:rPr>
        <w:rStyle w:val="PageNumber"/>
      </w:rPr>
    </w:sdtEndPr>
    <w:sdtContent>
      <w:p w14:paraId="140C4671" w14:textId="77777777" w:rsidR="0019687F" w:rsidRDefault="0019687F">
        <w:pPr>
          <w:pStyle w:val="Footer"/>
          <w:framePr w:wrap="none" w:vAnchor="text" w:hAnchor="margin" w:xAlign="right" w:y="1"/>
          <w:rPr>
            <w:rStyle w:val="PageNumber"/>
          </w:rPr>
        </w:pPr>
        <w:r>
          <w:rPr>
            <w:rStyle w:val="PageNumber"/>
            <w:lang w:val="fr"/>
          </w:rPr>
          <w:fldChar w:fldCharType="begin"/>
        </w:r>
        <w:r>
          <w:rPr>
            <w:rStyle w:val="PageNumber"/>
            <w:lang w:val="fr"/>
          </w:rPr>
          <w:instrText xml:space="preserve"> PAGE </w:instrText>
        </w:r>
        <w:r>
          <w:rPr>
            <w:rStyle w:val="PageNumber"/>
            <w:lang w:val="fr"/>
          </w:rPr>
          <w:fldChar w:fldCharType="separate"/>
        </w:r>
        <w:r>
          <w:rPr>
            <w:rStyle w:val="PageNumber"/>
            <w:noProof/>
            <w:lang w:val="fr"/>
          </w:rPr>
          <w:t>1</w:t>
        </w:r>
        <w:r>
          <w:rPr>
            <w:rStyle w:val="PageNumber"/>
            <w:lang w:val="fr"/>
          </w:rPr>
          <w:fldChar w:fldCharType="end"/>
        </w:r>
      </w:p>
    </w:sdtContent>
  </w:sdt>
  <w:p w14:paraId="140C4672" w14:textId="77777777" w:rsidR="00896475" w:rsidRPr="00CF45F8" w:rsidRDefault="00896475" w:rsidP="0019687F">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C4668" w14:textId="77777777" w:rsidR="00631C24" w:rsidRDefault="00631C24" w:rsidP="00896475">
      <w:r>
        <w:separator/>
      </w:r>
    </w:p>
  </w:footnote>
  <w:footnote w:type="continuationSeparator" w:id="0">
    <w:p w14:paraId="140C4669" w14:textId="77777777" w:rsidR="00631C24" w:rsidRDefault="00631C24" w:rsidP="00896475">
      <w:r>
        <w:continuationSeparator/>
      </w:r>
    </w:p>
  </w:footnote>
  <w:footnote w:type="continuationNotice" w:id="1">
    <w:p w14:paraId="140C466A" w14:textId="77777777" w:rsidR="00631C24" w:rsidRDefault="00631C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466E" w14:textId="77777777" w:rsidR="00896475" w:rsidRPr="00555AD3" w:rsidRDefault="00896475" w:rsidP="00896475">
    <w:pPr>
      <w:rPr>
        <w:rFonts w:ascii="Arial" w:eastAsia="Times New Roman" w:hAnsi="Arial" w:cs="Arial"/>
        <w:color w:val="000000"/>
        <w:lang w:val="fr-CH"/>
      </w:rPr>
    </w:pPr>
    <w:r>
      <w:rPr>
        <w:rFonts w:ascii="Arial" w:hAnsi="Arial" w:cs="Arial"/>
        <w:lang w:val="fr"/>
      </w:rPr>
      <w:t xml:space="preserve">[Insérer </w:t>
    </w:r>
    <w:r>
      <w:rPr>
        <w:rFonts w:ascii="Arial" w:hAnsi="Arial" w:cs="Arial"/>
        <w:color w:val="000000"/>
        <w:lang w:val="fr"/>
      </w:rPr>
      <w:t>l’en-tête du ministère des Finances</w:t>
    </w:r>
    <w:r>
      <w:rPr>
        <w:rFonts w:ascii="Arial" w:hAnsi="Arial" w:cs="Arial"/>
        <w:lang w:val="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E0DDB"/>
    <w:multiLevelType w:val="hybridMultilevel"/>
    <w:tmpl w:val="0DCE0C50"/>
    <w:lvl w:ilvl="0" w:tplc="AC42D30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F46B7"/>
    <w:multiLevelType w:val="hybridMultilevel"/>
    <w:tmpl w:val="4380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3D6D"/>
    <w:multiLevelType w:val="hybridMultilevel"/>
    <w:tmpl w:val="134CA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10D29"/>
    <w:multiLevelType w:val="hybridMultilevel"/>
    <w:tmpl w:val="0C22F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92ADD"/>
    <w:multiLevelType w:val="hybridMultilevel"/>
    <w:tmpl w:val="239EB8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9AD6221"/>
    <w:multiLevelType w:val="hybridMultilevel"/>
    <w:tmpl w:val="C0D2B6E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22F93"/>
    <w:multiLevelType w:val="hybridMultilevel"/>
    <w:tmpl w:val="8C90F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4810A8"/>
    <w:multiLevelType w:val="hybridMultilevel"/>
    <w:tmpl w:val="6BD2E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B0FFB"/>
    <w:multiLevelType w:val="hybridMultilevel"/>
    <w:tmpl w:val="627A7C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5E22BD"/>
    <w:multiLevelType w:val="hybridMultilevel"/>
    <w:tmpl w:val="4BB6DE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9E457C7"/>
    <w:multiLevelType w:val="hybridMultilevel"/>
    <w:tmpl w:val="512430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B9528F8"/>
    <w:multiLevelType w:val="hybridMultilevel"/>
    <w:tmpl w:val="E72E7F0E"/>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7CC5BFF"/>
    <w:multiLevelType w:val="hybridMultilevel"/>
    <w:tmpl w:val="5DAA9D3A"/>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3D44E14"/>
    <w:multiLevelType w:val="hybridMultilevel"/>
    <w:tmpl w:val="0B982662"/>
    <w:lvl w:ilvl="0" w:tplc="1DC43DD4">
      <w:start w:val="1"/>
      <w:numFmt w:val="decimal"/>
      <w:lvlText w:val="%1."/>
      <w:lvlJc w:val="left"/>
      <w:pPr>
        <w:ind w:left="360" w:hanging="360"/>
      </w:pPr>
      <w:rPr>
        <w:rFonts w:hint="default"/>
      </w:rPr>
    </w:lvl>
    <w:lvl w:ilvl="1" w:tplc="F22871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A50E62"/>
    <w:multiLevelType w:val="hybridMultilevel"/>
    <w:tmpl w:val="CACC7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B225C"/>
    <w:multiLevelType w:val="hybridMultilevel"/>
    <w:tmpl w:val="92FC5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AB2CDE"/>
    <w:multiLevelType w:val="hybridMultilevel"/>
    <w:tmpl w:val="E2E4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2230517">
    <w:abstractNumId w:val="4"/>
  </w:num>
  <w:num w:numId="2" w16cid:durableId="952327596">
    <w:abstractNumId w:val="10"/>
  </w:num>
  <w:num w:numId="3" w16cid:durableId="472411926">
    <w:abstractNumId w:val="5"/>
  </w:num>
  <w:num w:numId="4" w16cid:durableId="600263230">
    <w:abstractNumId w:val="8"/>
  </w:num>
  <w:num w:numId="5" w16cid:durableId="1092775702">
    <w:abstractNumId w:val="12"/>
  </w:num>
  <w:num w:numId="6" w16cid:durableId="1581938076">
    <w:abstractNumId w:val="11"/>
  </w:num>
  <w:num w:numId="7" w16cid:durableId="1243611742">
    <w:abstractNumId w:val="15"/>
  </w:num>
  <w:num w:numId="8" w16cid:durableId="1567302566">
    <w:abstractNumId w:val="16"/>
  </w:num>
  <w:num w:numId="9" w16cid:durableId="773133464">
    <w:abstractNumId w:val="1"/>
  </w:num>
  <w:num w:numId="10" w16cid:durableId="1514145257">
    <w:abstractNumId w:val="13"/>
  </w:num>
  <w:num w:numId="11" w16cid:durableId="663245308">
    <w:abstractNumId w:val="9"/>
  </w:num>
  <w:num w:numId="12" w16cid:durableId="2053646555">
    <w:abstractNumId w:val="0"/>
  </w:num>
  <w:num w:numId="13" w16cid:durableId="836700080">
    <w:abstractNumId w:val="2"/>
  </w:num>
  <w:num w:numId="14" w16cid:durableId="434785899">
    <w:abstractNumId w:val="6"/>
  </w:num>
  <w:num w:numId="15" w16cid:durableId="21172273">
    <w:abstractNumId w:val="3"/>
  </w:num>
  <w:num w:numId="16" w16cid:durableId="714547387">
    <w:abstractNumId w:val="7"/>
  </w:num>
  <w:num w:numId="17" w16cid:durableId="11455075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D33"/>
    <w:rsid w:val="00003DD0"/>
    <w:rsid w:val="000047E1"/>
    <w:rsid w:val="000066B6"/>
    <w:rsid w:val="00012D4A"/>
    <w:rsid w:val="00013777"/>
    <w:rsid w:val="0001521A"/>
    <w:rsid w:val="00022D0A"/>
    <w:rsid w:val="00024BB8"/>
    <w:rsid w:val="00024CF3"/>
    <w:rsid w:val="000250C5"/>
    <w:rsid w:val="000255E8"/>
    <w:rsid w:val="00025F16"/>
    <w:rsid w:val="000267DF"/>
    <w:rsid w:val="00027C5E"/>
    <w:rsid w:val="00027D89"/>
    <w:rsid w:val="00027F28"/>
    <w:rsid w:val="0003433C"/>
    <w:rsid w:val="000353C9"/>
    <w:rsid w:val="00037B97"/>
    <w:rsid w:val="00037E11"/>
    <w:rsid w:val="00044088"/>
    <w:rsid w:val="00045231"/>
    <w:rsid w:val="00047359"/>
    <w:rsid w:val="00050560"/>
    <w:rsid w:val="00051C39"/>
    <w:rsid w:val="0005235F"/>
    <w:rsid w:val="00062D05"/>
    <w:rsid w:val="000633B4"/>
    <w:rsid w:val="00064590"/>
    <w:rsid w:val="00064BE0"/>
    <w:rsid w:val="00066558"/>
    <w:rsid w:val="0006660A"/>
    <w:rsid w:val="00066AEB"/>
    <w:rsid w:val="00067C78"/>
    <w:rsid w:val="00075571"/>
    <w:rsid w:val="00083198"/>
    <w:rsid w:val="00094C28"/>
    <w:rsid w:val="0009570F"/>
    <w:rsid w:val="000A7A94"/>
    <w:rsid w:val="000C2F23"/>
    <w:rsid w:val="000C3A7F"/>
    <w:rsid w:val="000D07CA"/>
    <w:rsid w:val="000D2FCD"/>
    <w:rsid w:val="000D7AE6"/>
    <w:rsid w:val="000E03C1"/>
    <w:rsid w:val="000E0777"/>
    <w:rsid w:val="000E1643"/>
    <w:rsid w:val="000E20A3"/>
    <w:rsid w:val="000E3D80"/>
    <w:rsid w:val="000E44A7"/>
    <w:rsid w:val="000E486B"/>
    <w:rsid w:val="000F03AE"/>
    <w:rsid w:val="000F1BF7"/>
    <w:rsid w:val="000F5B26"/>
    <w:rsid w:val="000F6481"/>
    <w:rsid w:val="000F784C"/>
    <w:rsid w:val="00101439"/>
    <w:rsid w:val="001027E6"/>
    <w:rsid w:val="001033D3"/>
    <w:rsid w:val="00104D8A"/>
    <w:rsid w:val="00106BF5"/>
    <w:rsid w:val="001111F2"/>
    <w:rsid w:val="001135A3"/>
    <w:rsid w:val="00120116"/>
    <w:rsid w:val="0012244F"/>
    <w:rsid w:val="00122858"/>
    <w:rsid w:val="001237CF"/>
    <w:rsid w:val="00131D7F"/>
    <w:rsid w:val="00133C03"/>
    <w:rsid w:val="00135D8D"/>
    <w:rsid w:val="00140023"/>
    <w:rsid w:val="0014157A"/>
    <w:rsid w:val="00150DEC"/>
    <w:rsid w:val="001515AC"/>
    <w:rsid w:val="001626B0"/>
    <w:rsid w:val="0016277D"/>
    <w:rsid w:val="00172D26"/>
    <w:rsid w:val="00173C64"/>
    <w:rsid w:val="0018134C"/>
    <w:rsid w:val="00181EBB"/>
    <w:rsid w:val="00184F45"/>
    <w:rsid w:val="001853E4"/>
    <w:rsid w:val="0018607D"/>
    <w:rsid w:val="00186963"/>
    <w:rsid w:val="0019084D"/>
    <w:rsid w:val="00191E2A"/>
    <w:rsid w:val="0019687F"/>
    <w:rsid w:val="0019703C"/>
    <w:rsid w:val="001A06E5"/>
    <w:rsid w:val="001A1529"/>
    <w:rsid w:val="001A1DAD"/>
    <w:rsid w:val="001A1FC3"/>
    <w:rsid w:val="001A3420"/>
    <w:rsid w:val="001A3887"/>
    <w:rsid w:val="001A438C"/>
    <w:rsid w:val="001A4B46"/>
    <w:rsid w:val="001A74DD"/>
    <w:rsid w:val="001B2739"/>
    <w:rsid w:val="001B56DC"/>
    <w:rsid w:val="001C30FA"/>
    <w:rsid w:val="001C3D73"/>
    <w:rsid w:val="001C61CC"/>
    <w:rsid w:val="001C6834"/>
    <w:rsid w:val="001C70C3"/>
    <w:rsid w:val="001D1088"/>
    <w:rsid w:val="001D5FEF"/>
    <w:rsid w:val="001D6FF8"/>
    <w:rsid w:val="001D74D9"/>
    <w:rsid w:val="001E0288"/>
    <w:rsid w:val="001E0584"/>
    <w:rsid w:val="001E06B8"/>
    <w:rsid w:val="001E5702"/>
    <w:rsid w:val="001E67D9"/>
    <w:rsid w:val="001F3EB6"/>
    <w:rsid w:val="001F60E4"/>
    <w:rsid w:val="001F7972"/>
    <w:rsid w:val="00202E55"/>
    <w:rsid w:val="002063DB"/>
    <w:rsid w:val="0020784E"/>
    <w:rsid w:val="00214A8D"/>
    <w:rsid w:val="002165CE"/>
    <w:rsid w:val="00216FA1"/>
    <w:rsid w:val="00220C35"/>
    <w:rsid w:val="00225401"/>
    <w:rsid w:val="0023054F"/>
    <w:rsid w:val="00237DC3"/>
    <w:rsid w:val="002429F0"/>
    <w:rsid w:val="00246028"/>
    <w:rsid w:val="00267368"/>
    <w:rsid w:val="00281190"/>
    <w:rsid w:val="0028229D"/>
    <w:rsid w:val="00283874"/>
    <w:rsid w:val="00283AC6"/>
    <w:rsid w:val="00287361"/>
    <w:rsid w:val="0029042D"/>
    <w:rsid w:val="00293BAD"/>
    <w:rsid w:val="00296855"/>
    <w:rsid w:val="002A0115"/>
    <w:rsid w:val="002A0781"/>
    <w:rsid w:val="002A14A5"/>
    <w:rsid w:val="002B097C"/>
    <w:rsid w:val="002B20E1"/>
    <w:rsid w:val="002B7638"/>
    <w:rsid w:val="002C01E0"/>
    <w:rsid w:val="002C1359"/>
    <w:rsid w:val="002C319F"/>
    <w:rsid w:val="002C53E7"/>
    <w:rsid w:val="002C5B0B"/>
    <w:rsid w:val="002C6E06"/>
    <w:rsid w:val="002C7E78"/>
    <w:rsid w:val="002D1402"/>
    <w:rsid w:val="002D32BF"/>
    <w:rsid w:val="002D3AE6"/>
    <w:rsid w:val="002D3FCB"/>
    <w:rsid w:val="002D6A32"/>
    <w:rsid w:val="002E16AF"/>
    <w:rsid w:val="002E1924"/>
    <w:rsid w:val="002E7ABE"/>
    <w:rsid w:val="002F04C4"/>
    <w:rsid w:val="002F0A6B"/>
    <w:rsid w:val="002F2F5A"/>
    <w:rsid w:val="002F36B1"/>
    <w:rsid w:val="002F3DE3"/>
    <w:rsid w:val="002F469D"/>
    <w:rsid w:val="003066D3"/>
    <w:rsid w:val="003114F4"/>
    <w:rsid w:val="0031178D"/>
    <w:rsid w:val="00313BB4"/>
    <w:rsid w:val="00314E36"/>
    <w:rsid w:val="003205CB"/>
    <w:rsid w:val="003206FE"/>
    <w:rsid w:val="00320AA0"/>
    <w:rsid w:val="0032727E"/>
    <w:rsid w:val="00333CAC"/>
    <w:rsid w:val="00333D33"/>
    <w:rsid w:val="003343C3"/>
    <w:rsid w:val="0033747B"/>
    <w:rsid w:val="003377EE"/>
    <w:rsid w:val="003429F2"/>
    <w:rsid w:val="0034407F"/>
    <w:rsid w:val="0035180D"/>
    <w:rsid w:val="0035314A"/>
    <w:rsid w:val="0036044F"/>
    <w:rsid w:val="00362D8E"/>
    <w:rsid w:val="00366589"/>
    <w:rsid w:val="00367638"/>
    <w:rsid w:val="00372BDB"/>
    <w:rsid w:val="00374B5B"/>
    <w:rsid w:val="00380990"/>
    <w:rsid w:val="00381496"/>
    <w:rsid w:val="00381B55"/>
    <w:rsid w:val="003828F9"/>
    <w:rsid w:val="00383A21"/>
    <w:rsid w:val="003946C8"/>
    <w:rsid w:val="003977FB"/>
    <w:rsid w:val="003A188C"/>
    <w:rsid w:val="003A4B55"/>
    <w:rsid w:val="003A4DF2"/>
    <w:rsid w:val="003A616A"/>
    <w:rsid w:val="003B0CD4"/>
    <w:rsid w:val="003B2E55"/>
    <w:rsid w:val="003C05B9"/>
    <w:rsid w:val="003D1AA1"/>
    <w:rsid w:val="003D4CE9"/>
    <w:rsid w:val="003D566F"/>
    <w:rsid w:val="003D605C"/>
    <w:rsid w:val="003E4935"/>
    <w:rsid w:val="003E64B3"/>
    <w:rsid w:val="003E676C"/>
    <w:rsid w:val="003E6A78"/>
    <w:rsid w:val="003F1D1E"/>
    <w:rsid w:val="003F54EA"/>
    <w:rsid w:val="003F7582"/>
    <w:rsid w:val="00400325"/>
    <w:rsid w:val="0040297E"/>
    <w:rsid w:val="00402E66"/>
    <w:rsid w:val="00403420"/>
    <w:rsid w:val="00403676"/>
    <w:rsid w:val="00403C50"/>
    <w:rsid w:val="00404ADC"/>
    <w:rsid w:val="00404CA3"/>
    <w:rsid w:val="004062D9"/>
    <w:rsid w:val="0041172E"/>
    <w:rsid w:val="00420730"/>
    <w:rsid w:val="0042204A"/>
    <w:rsid w:val="00425692"/>
    <w:rsid w:val="00425FE6"/>
    <w:rsid w:val="00426EB6"/>
    <w:rsid w:val="00427A78"/>
    <w:rsid w:val="0043181F"/>
    <w:rsid w:val="00431F73"/>
    <w:rsid w:val="0043271E"/>
    <w:rsid w:val="00434CC5"/>
    <w:rsid w:val="00437A19"/>
    <w:rsid w:val="00437C9E"/>
    <w:rsid w:val="00437F55"/>
    <w:rsid w:val="00440E2D"/>
    <w:rsid w:val="004449C2"/>
    <w:rsid w:val="0044794C"/>
    <w:rsid w:val="00450839"/>
    <w:rsid w:val="00453BB4"/>
    <w:rsid w:val="00454AF5"/>
    <w:rsid w:val="004618E7"/>
    <w:rsid w:val="00463D1D"/>
    <w:rsid w:val="0046618D"/>
    <w:rsid w:val="00466B58"/>
    <w:rsid w:val="00467DF4"/>
    <w:rsid w:val="004727D5"/>
    <w:rsid w:val="0047460D"/>
    <w:rsid w:val="00475FD2"/>
    <w:rsid w:val="00485CD1"/>
    <w:rsid w:val="00486C51"/>
    <w:rsid w:val="004903E3"/>
    <w:rsid w:val="004941CA"/>
    <w:rsid w:val="00494E54"/>
    <w:rsid w:val="004A4599"/>
    <w:rsid w:val="004A7FF8"/>
    <w:rsid w:val="004B1BDB"/>
    <w:rsid w:val="004B2C6F"/>
    <w:rsid w:val="004B4E4D"/>
    <w:rsid w:val="004B762F"/>
    <w:rsid w:val="004C144A"/>
    <w:rsid w:val="004C214E"/>
    <w:rsid w:val="004C35FA"/>
    <w:rsid w:val="004C3FE8"/>
    <w:rsid w:val="004C463A"/>
    <w:rsid w:val="004C523B"/>
    <w:rsid w:val="004D012E"/>
    <w:rsid w:val="004D2D3E"/>
    <w:rsid w:val="004E3B6B"/>
    <w:rsid w:val="004F3884"/>
    <w:rsid w:val="004F4BA7"/>
    <w:rsid w:val="004F5A76"/>
    <w:rsid w:val="00505ED3"/>
    <w:rsid w:val="00510ACA"/>
    <w:rsid w:val="005147B9"/>
    <w:rsid w:val="005209C9"/>
    <w:rsid w:val="00520DAC"/>
    <w:rsid w:val="005212A1"/>
    <w:rsid w:val="0052238B"/>
    <w:rsid w:val="005223F6"/>
    <w:rsid w:val="0052402E"/>
    <w:rsid w:val="005249E6"/>
    <w:rsid w:val="00525E78"/>
    <w:rsid w:val="00534F92"/>
    <w:rsid w:val="005373CC"/>
    <w:rsid w:val="0054411B"/>
    <w:rsid w:val="00546943"/>
    <w:rsid w:val="0054750F"/>
    <w:rsid w:val="00547F0A"/>
    <w:rsid w:val="005510E9"/>
    <w:rsid w:val="00553C69"/>
    <w:rsid w:val="00555AD3"/>
    <w:rsid w:val="00560099"/>
    <w:rsid w:val="005729AB"/>
    <w:rsid w:val="0057424D"/>
    <w:rsid w:val="00574B70"/>
    <w:rsid w:val="0057743C"/>
    <w:rsid w:val="005817F9"/>
    <w:rsid w:val="00590799"/>
    <w:rsid w:val="00590A64"/>
    <w:rsid w:val="005936E7"/>
    <w:rsid w:val="00594DFD"/>
    <w:rsid w:val="005961F3"/>
    <w:rsid w:val="005967D9"/>
    <w:rsid w:val="005A4E09"/>
    <w:rsid w:val="005B0C16"/>
    <w:rsid w:val="005C3CB6"/>
    <w:rsid w:val="005C4A3A"/>
    <w:rsid w:val="005C5193"/>
    <w:rsid w:val="005C5FEF"/>
    <w:rsid w:val="005D26B3"/>
    <w:rsid w:val="005D2C7C"/>
    <w:rsid w:val="005D719C"/>
    <w:rsid w:val="005E00B2"/>
    <w:rsid w:val="005E01FD"/>
    <w:rsid w:val="005E2189"/>
    <w:rsid w:val="005E4CF7"/>
    <w:rsid w:val="005E4FAC"/>
    <w:rsid w:val="005F1036"/>
    <w:rsid w:val="005F2096"/>
    <w:rsid w:val="005F5251"/>
    <w:rsid w:val="005F54E1"/>
    <w:rsid w:val="005F5975"/>
    <w:rsid w:val="005F6C2A"/>
    <w:rsid w:val="006035C2"/>
    <w:rsid w:val="006055EF"/>
    <w:rsid w:val="00607BA6"/>
    <w:rsid w:val="00610074"/>
    <w:rsid w:val="006111C2"/>
    <w:rsid w:val="006129C0"/>
    <w:rsid w:val="00614D9A"/>
    <w:rsid w:val="00622C52"/>
    <w:rsid w:val="00626E3D"/>
    <w:rsid w:val="00627568"/>
    <w:rsid w:val="006278AB"/>
    <w:rsid w:val="00631C24"/>
    <w:rsid w:val="00632E1F"/>
    <w:rsid w:val="00632FB8"/>
    <w:rsid w:val="00644E87"/>
    <w:rsid w:val="00645766"/>
    <w:rsid w:val="00646318"/>
    <w:rsid w:val="00651E8A"/>
    <w:rsid w:val="0065367B"/>
    <w:rsid w:val="006562FC"/>
    <w:rsid w:val="00657239"/>
    <w:rsid w:val="00670173"/>
    <w:rsid w:val="0067110B"/>
    <w:rsid w:val="0067195C"/>
    <w:rsid w:val="00675F48"/>
    <w:rsid w:val="00676515"/>
    <w:rsid w:val="00680122"/>
    <w:rsid w:val="006816DF"/>
    <w:rsid w:val="006837FC"/>
    <w:rsid w:val="00686BFA"/>
    <w:rsid w:val="00691837"/>
    <w:rsid w:val="00693B6A"/>
    <w:rsid w:val="00694DD5"/>
    <w:rsid w:val="00696C84"/>
    <w:rsid w:val="006A0D01"/>
    <w:rsid w:val="006A0E5E"/>
    <w:rsid w:val="006A4082"/>
    <w:rsid w:val="006A5280"/>
    <w:rsid w:val="006A7A65"/>
    <w:rsid w:val="006B1F27"/>
    <w:rsid w:val="006B2C57"/>
    <w:rsid w:val="006C291B"/>
    <w:rsid w:val="006C5C31"/>
    <w:rsid w:val="006C6E41"/>
    <w:rsid w:val="006D3278"/>
    <w:rsid w:val="006D416F"/>
    <w:rsid w:val="006D53C2"/>
    <w:rsid w:val="006D6830"/>
    <w:rsid w:val="006E301E"/>
    <w:rsid w:val="006E31D2"/>
    <w:rsid w:val="006E4FB2"/>
    <w:rsid w:val="006F324D"/>
    <w:rsid w:val="006F5424"/>
    <w:rsid w:val="006F72AE"/>
    <w:rsid w:val="006F7F00"/>
    <w:rsid w:val="00701F69"/>
    <w:rsid w:val="007055FB"/>
    <w:rsid w:val="00713CAC"/>
    <w:rsid w:val="00714891"/>
    <w:rsid w:val="007169BC"/>
    <w:rsid w:val="00720BAF"/>
    <w:rsid w:val="00731255"/>
    <w:rsid w:val="00734363"/>
    <w:rsid w:val="0073441E"/>
    <w:rsid w:val="0073618E"/>
    <w:rsid w:val="00753C75"/>
    <w:rsid w:val="0075553E"/>
    <w:rsid w:val="00756CAB"/>
    <w:rsid w:val="007637E3"/>
    <w:rsid w:val="007700A7"/>
    <w:rsid w:val="00772905"/>
    <w:rsid w:val="007732A9"/>
    <w:rsid w:val="0077486A"/>
    <w:rsid w:val="007826DA"/>
    <w:rsid w:val="007834EC"/>
    <w:rsid w:val="00796F70"/>
    <w:rsid w:val="0079773D"/>
    <w:rsid w:val="007A0911"/>
    <w:rsid w:val="007A33C4"/>
    <w:rsid w:val="007A3D52"/>
    <w:rsid w:val="007B3954"/>
    <w:rsid w:val="007B3F31"/>
    <w:rsid w:val="007B4E5C"/>
    <w:rsid w:val="007B6022"/>
    <w:rsid w:val="007C3E17"/>
    <w:rsid w:val="007D5DC2"/>
    <w:rsid w:val="007E09E8"/>
    <w:rsid w:val="007E38EE"/>
    <w:rsid w:val="007E5544"/>
    <w:rsid w:val="007F12B9"/>
    <w:rsid w:val="007F35B2"/>
    <w:rsid w:val="007F3626"/>
    <w:rsid w:val="007F56AD"/>
    <w:rsid w:val="007F7446"/>
    <w:rsid w:val="0080084A"/>
    <w:rsid w:val="00801C29"/>
    <w:rsid w:val="00802957"/>
    <w:rsid w:val="00803AE6"/>
    <w:rsid w:val="00803B88"/>
    <w:rsid w:val="008116FE"/>
    <w:rsid w:val="0082258E"/>
    <w:rsid w:val="00823D68"/>
    <w:rsid w:val="0082410B"/>
    <w:rsid w:val="00825334"/>
    <w:rsid w:val="00825581"/>
    <w:rsid w:val="00835DB1"/>
    <w:rsid w:val="00843C2B"/>
    <w:rsid w:val="008453A8"/>
    <w:rsid w:val="00851F0F"/>
    <w:rsid w:val="00856189"/>
    <w:rsid w:val="00860FC8"/>
    <w:rsid w:val="00861DB6"/>
    <w:rsid w:val="00862C69"/>
    <w:rsid w:val="00863374"/>
    <w:rsid w:val="00864646"/>
    <w:rsid w:val="00865E8A"/>
    <w:rsid w:val="00866823"/>
    <w:rsid w:val="008670DB"/>
    <w:rsid w:val="00867A16"/>
    <w:rsid w:val="00873116"/>
    <w:rsid w:val="00873534"/>
    <w:rsid w:val="00877724"/>
    <w:rsid w:val="00880E0C"/>
    <w:rsid w:val="00881C47"/>
    <w:rsid w:val="008823D2"/>
    <w:rsid w:val="00884BDF"/>
    <w:rsid w:val="00887400"/>
    <w:rsid w:val="0088751F"/>
    <w:rsid w:val="00892E26"/>
    <w:rsid w:val="00896475"/>
    <w:rsid w:val="008A043C"/>
    <w:rsid w:val="008B2ED8"/>
    <w:rsid w:val="008B6D6A"/>
    <w:rsid w:val="008C0383"/>
    <w:rsid w:val="008C06D4"/>
    <w:rsid w:val="008C18E1"/>
    <w:rsid w:val="008C37E1"/>
    <w:rsid w:val="008C5CCF"/>
    <w:rsid w:val="008D0100"/>
    <w:rsid w:val="008D1426"/>
    <w:rsid w:val="008D2CF1"/>
    <w:rsid w:val="008D6397"/>
    <w:rsid w:val="008D66A2"/>
    <w:rsid w:val="008D6F18"/>
    <w:rsid w:val="008E5A7E"/>
    <w:rsid w:val="008F05B6"/>
    <w:rsid w:val="008F0CE8"/>
    <w:rsid w:val="008F167F"/>
    <w:rsid w:val="009013C1"/>
    <w:rsid w:val="009079D4"/>
    <w:rsid w:val="00907EC6"/>
    <w:rsid w:val="00910FD7"/>
    <w:rsid w:val="00924DED"/>
    <w:rsid w:val="009256AF"/>
    <w:rsid w:val="00926F74"/>
    <w:rsid w:val="00927A5D"/>
    <w:rsid w:val="009308B2"/>
    <w:rsid w:val="009308E4"/>
    <w:rsid w:val="009334D7"/>
    <w:rsid w:val="009358BA"/>
    <w:rsid w:val="0093754B"/>
    <w:rsid w:val="00940720"/>
    <w:rsid w:val="0094331E"/>
    <w:rsid w:val="00947730"/>
    <w:rsid w:val="009531ED"/>
    <w:rsid w:val="00965B18"/>
    <w:rsid w:val="00966418"/>
    <w:rsid w:val="00974EFB"/>
    <w:rsid w:val="00975E0D"/>
    <w:rsid w:val="009774FE"/>
    <w:rsid w:val="0098556F"/>
    <w:rsid w:val="0098742D"/>
    <w:rsid w:val="0099016D"/>
    <w:rsid w:val="00991AA6"/>
    <w:rsid w:val="00995813"/>
    <w:rsid w:val="00995A4B"/>
    <w:rsid w:val="009976E0"/>
    <w:rsid w:val="00997D71"/>
    <w:rsid w:val="009A22F3"/>
    <w:rsid w:val="009A33FE"/>
    <w:rsid w:val="009B18FE"/>
    <w:rsid w:val="009B297B"/>
    <w:rsid w:val="009B2F5F"/>
    <w:rsid w:val="009B34DD"/>
    <w:rsid w:val="009B6FFB"/>
    <w:rsid w:val="009C2290"/>
    <w:rsid w:val="009D0B9C"/>
    <w:rsid w:val="009D0D6C"/>
    <w:rsid w:val="009D157C"/>
    <w:rsid w:val="009D66B5"/>
    <w:rsid w:val="009E5389"/>
    <w:rsid w:val="009E764D"/>
    <w:rsid w:val="009F0AF2"/>
    <w:rsid w:val="009F4720"/>
    <w:rsid w:val="00A0094C"/>
    <w:rsid w:val="00A01052"/>
    <w:rsid w:val="00A023E6"/>
    <w:rsid w:val="00A05CC6"/>
    <w:rsid w:val="00A21014"/>
    <w:rsid w:val="00A2199E"/>
    <w:rsid w:val="00A25DB2"/>
    <w:rsid w:val="00A3661E"/>
    <w:rsid w:val="00A36817"/>
    <w:rsid w:val="00A371C5"/>
    <w:rsid w:val="00A406A4"/>
    <w:rsid w:val="00A43C6B"/>
    <w:rsid w:val="00A44AB2"/>
    <w:rsid w:val="00A503CA"/>
    <w:rsid w:val="00A50E65"/>
    <w:rsid w:val="00A50F0D"/>
    <w:rsid w:val="00A54F1D"/>
    <w:rsid w:val="00A63A08"/>
    <w:rsid w:val="00A65853"/>
    <w:rsid w:val="00A65A5B"/>
    <w:rsid w:val="00A74E80"/>
    <w:rsid w:val="00A77F59"/>
    <w:rsid w:val="00A872BD"/>
    <w:rsid w:val="00A90003"/>
    <w:rsid w:val="00A9042F"/>
    <w:rsid w:val="00A92631"/>
    <w:rsid w:val="00A9359A"/>
    <w:rsid w:val="00A9498A"/>
    <w:rsid w:val="00AA1A49"/>
    <w:rsid w:val="00AA2250"/>
    <w:rsid w:val="00AA4BCD"/>
    <w:rsid w:val="00AA749F"/>
    <w:rsid w:val="00AB5004"/>
    <w:rsid w:val="00AB5EC1"/>
    <w:rsid w:val="00AC0067"/>
    <w:rsid w:val="00AC350A"/>
    <w:rsid w:val="00AC6429"/>
    <w:rsid w:val="00AD1FFD"/>
    <w:rsid w:val="00AE018E"/>
    <w:rsid w:val="00AE08C5"/>
    <w:rsid w:val="00AE0B5D"/>
    <w:rsid w:val="00AE5EBA"/>
    <w:rsid w:val="00AE78B9"/>
    <w:rsid w:val="00AE7EFB"/>
    <w:rsid w:val="00AF0F2D"/>
    <w:rsid w:val="00B107B1"/>
    <w:rsid w:val="00B129A3"/>
    <w:rsid w:val="00B20F88"/>
    <w:rsid w:val="00B22CEA"/>
    <w:rsid w:val="00B32D39"/>
    <w:rsid w:val="00B3322B"/>
    <w:rsid w:val="00B357C4"/>
    <w:rsid w:val="00B41C32"/>
    <w:rsid w:val="00B42D18"/>
    <w:rsid w:val="00B46484"/>
    <w:rsid w:val="00B466A6"/>
    <w:rsid w:val="00B47C3E"/>
    <w:rsid w:val="00B55F4C"/>
    <w:rsid w:val="00B61267"/>
    <w:rsid w:val="00B62358"/>
    <w:rsid w:val="00B64222"/>
    <w:rsid w:val="00B64B91"/>
    <w:rsid w:val="00B678CF"/>
    <w:rsid w:val="00B70918"/>
    <w:rsid w:val="00B730BA"/>
    <w:rsid w:val="00B80D93"/>
    <w:rsid w:val="00B8222C"/>
    <w:rsid w:val="00B841B1"/>
    <w:rsid w:val="00B84B50"/>
    <w:rsid w:val="00B92521"/>
    <w:rsid w:val="00B939E6"/>
    <w:rsid w:val="00B95A76"/>
    <w:rsid w:val="00B965FB"/>
    <w:rsid w:val="00BA055E"/>
    <w:rsid w:val="00BA2312"/>
    <w:rsid w:val="00BA6938"/>
    <w:rsid w:val="00BA6DAF"/>
    <w:rsid w:val="00BA723A"/>
    <w:rsid w:val="00BB246F"/>
    <w:rsid w:val="00BB65A6"/>
    <w:rsid w:val="00BC1FE0"/>
    <w:rsid w:val="00BC60C8"/>
    <w:rsid w:val="00BC6528"/>
    <w:rsid w:val="00BC6D44"/>
    <w:rsid w:val="00BD34B9"/>
    <w:rsid w:val="00BD544C"/>
    <w:rsid w:val="00BD65AD"/>
    <w:rsid w:val="00BE0943"/>
    <w:rsid w:val="00BE3BD9"/>
    <w:rsid w:val="00BE6473"/>
    <w:rsid w:val="00BF3CC3"/>
    <w:rsid w:val="00BF4148"/>
    <w:rsid w:val="00BF5F9C"/>
    <w:rsid w:val="00C105AF"/>
    <w:rsid w:val="00C11C8B"/>
    <w:rsid w:val="00C153A6"/>
    <w:rsid w:val="00C157E4"/>
    <w:rsid w:val="00C202C9"/>
    <w:rsid w:val="00C204A8"/>
    <w:rsid w:val="00C266C6"/>
    <w:rsid w:val="00C35E78"/>
    <w:rsid w:val="00C412C3"/>
    <w:rsid w:val="00C42D99"/>
    <w:rsid w:val="00C54EB3"/>
    <w:rsid w:val="00C61E12"/>
    <w:rsid w:val="00C61E57"/>
    <w:rsid w:val="00C71FDF"/>
    <w:rsid w:val="00C72A76"/>
    <w:rsid w:val="00C72CC0"/>
    <w:rsid w:val="00C73E74"/>
    <w:rsid w:val="00C7532E"/>
    <w:rsid w:val="00C75688"/>
    <w:rsid w:val="00C77C42"/>
    <w:rsid w:val="00C80128"/>
    <w:rsid w:val="00C812BB"/>
    <w:rsid w:val="00C87727"/>
    <w:rsid w:val="00C913D3"/>
    <w:rsid w:val="00C92785"/>
    <w:rsid w:val="00C92C6D"/>
    <w:rsid w:val="00C93482"/>
    <w:rsid w:val="00C94FDA"/>
    <w:rsid w:val="00C95EAC"/>
    <w:rsid w:val="00C97F50"/>
    <w:rsid w:val="00CA26C6"/>
    <w:rsid w:val="00CA3681"/>
    <w:rsid w:val="00CB1EA7"/>
    <w:rsid w:val="00CB5CDE"/>
    <w:rsid w:val="00CB6F6A"/>
    <w:rsid w:val="00CB7332"/>
    <w:rsid w:val="00CC0EBD"/>
    <w:rsid w:val="00CC177A"/>
    <w:rsid w:val="00CC2953"/>
    <w:rsid w:val="00CC7B1E"/>
    <w:rsid w:val="00CD0296"/>
    <w:rsid w:val="00CD5D1B"/>
    <w:rsid w:val="00CE2CFE"/>
    <w:rsid w:val="00CE3154"/>
    <w:rsid w:val="00CE3808"/>
    <w:rsid w:val="00CE61FD"/>
    <w:rsid w:val="00CF0DC4"/>
    <w:rsid w:val="00CF19A1"/>
    <w:rsid w:val="00CF291A"/>
    <w:rsid w:val="00CF39AB"/>
    <w:rsid w:val="00CF45F8"/>
    <w:rsid w:val="00CF7517"/>
    <w:rsid w:val="00D01B7E"/>
    <w:rsid w:val="00D06EBB"/>
    <w:rsid w:val="00D1048C"/>
    <w:rsid w:val="00D242E5"/>
    <w:rsid w:val="00D25BF8"/>
    <w:rsid w:val="00D31011"/>
    <w:rsid w:val="00D3325B"/>
    <w:rsid w:val="00D42782"/>
    <w:rsid w:val="00D43E9C"/>
    <w:rsid w:val="00D449FD"/>
    <w:rsid w:val="00D44DE5"/>
    <w:rsid w:val="00D5188E"/>
    <w:rsid w:val="00D55448"/>
    <w:rsid w:val="00D60B68"/>
    <w:rsid w:val="00D66E03"/>
    <w:rsid w:val="00D7269E"/>
    <w:rsid w:val="00D73717"/>
    <w:rsid w:val="00D73CE3"/>
    <w:rsid w:val="00D8424C"/>
    <w:rsid w:val="00D879F9"/>
    <w:rsid w:val="00D9175C"/>
    <w:rsid w:val="00D935B3"/>
    <w:rsid w:val="00D936BC"/>
    <w:rsid w:val="00D945BB"/>
    <w:rsid w:val="00D95961"/>
    <w:rsid w:val="00DA01F5"/>
    <w:rsid w:val="00DA1196"/>
    <w:rsid w:val="00DA53A1"/>
    <w:rsid w:val="00DA7332"/>
    <w:rsid w:val="00DB3824"/>
    <w:rsid w:val="00DB422F"/>
    <w:rsid w:val="00DB7888"/>
    <w:rsid w:val="00DC129D"/>
    <w:rsid w:val="00DC1F82"/>
    <w:rsid w:val="00DC2ED7"/>
    <w:rsid w:val="00DC2F91"/>
    <w:rsid w:val="00DD32CA"/>
    <w:rsid w:val="00DD5F12"/>
    <w:rsid w:val="00DE0DCF"/>
    <w:rsid w:val="00DE1D11"/>
    <w:rsid w:val="00DE2A21"/>
    <w:rsid w:val="00DE6671"/>
    <w:rsid w:val="00DE7FB3"/>
    <w:rsid w:val="00DF02EF"/>
    <w:rsid w:val="00DF176A"/>
    <w:rsid w:val="00DF21B3"/>
    <w:rsid w:val="00DF30D3"/>
    <w:rsid w:val="00DF46F9"/>
    <w:rsid w:val="00DF58EF"/>
    <w:rsid w:val="00E043EE"/>
    <w:rsid w:val="00E05F6D"/>
    <w:rsid w:val="00E064B2"/>
    <w:rsid w:val="00E108B6"/>
    <w:rsid w:val="00E15619"/>
    <w:rsid w:val="00E213B5"/>
    <w:rsid w:val="00E21ECD"/>
    <w:rsid w:val="00E22863"/>
    <w:rsid w:val="00E233CA"/>
    <w:rsid w:val="00E351EF"/>
    <w:rsid w:val="00E37CF1"/>
    <w:rsid w:val="00E42A58"/>
    <w:rsid w:val="00E44B89"/>
    <w:rsid w:val="00E46F51"/>
    <w:rsid w:val="00E51124"/>
    <w:rsid w:val="00E51781"/>
    <w:rsid w:val="00E64401"/>
    <w:rsid w:val="00E65973"/>
    <w:rsid w:val="00E67005"/>
    <w:rsid w:val="00E713EC"/>
    <w:rsid w:val="00E71BBA"/>
    <w:rsid w:val="00E858DE"/>
    <w:rsid w:val="00E86242"/>
    <w:rsid w:val="00E8626C"/>
    <w:rsid w:val="00E8739A"/>
    <w:rsid w:val="00E91917"/>
    <w:rsid w:val="00EA39EE"/>
    <w:rsid w:val="00EA4F2F"/>
    <w:rsid w:val="00EB344C"/>
    <w:rsid w:val="00EB53AC"/>
    <w:rsid w:val="00EB59DE"/>
    <w:rsid w:val="00EB7721"/>
    <w:rsid w:val="00EC2C98"/>
    <w:rsid w:val="00EC76E9"/>
    <w:rsid w:val="00ED1F28"/>
    <w:rsid w:val="00ED558E"/>
    <w:rsid w:val="00EE0066"/>
    <w:rsid w:val="00EE3377"/>
    <w:rsid w:val="00EF0E1A"/>
    <w:rsid w:val="00EF2ADD"/>
    <w:rsid w:val="00EF5B5B"/>
    <w:rsid w:val="00EF6DFE"/>
    <w:rsid w:val="00F045FE"/>
    <w:rsid w:val="00F108F7"/>
    <w:rsid w:val="00F10AA2"/>
    <w:rsid w:val="00F11D8E"/>
    <w:rsid w:val="00F1564A"/>
    <w:rsid w:val="00F15D00"/>
    <w:rsid w:val="00F15FA4"/>
    <w:rsid w:val="00F20B2A"/>
    <w:rsid w:val="00F24059"/>
    <w:rsid w:val="00F36D7C"/>
    <w:rsid w:val="00F372C7"/>
    <w:rsid w:val="00F40B19"/>
    <w:rsid w:val="00F46F82"/>
    <w:rsid w:val="00F47A73"/>
    <w:rsid w:val="00F509D3"/>
    <w:rsid w:val="00F53236"/>
    <w:rsid w:val="00F53855"/>
    <w:rsid w:val="00F60CE8"/>
    <w:rsid w:val="00F64A6E"/>
    <w:rsid w:val="00F65373"/>
    <w:rsid w:val="00F6567F"/>
    <w:rsid w:val="00F72F0E"/>
    <w:rsid w:val="00F73621"/>
    <w:rsid w:val="00F810B4"/>
    <w:rsid w:val="00F831EF"/>
    <w:rsid w:val="00F96E51"/>
    <w:rsid w:val="00FA7356"/>
    <w:rsid w:val="00FB3D8F"/>
    <w:rsid w:val="00FB6C83"/>
    <w:rsid w:val="00FB7FFB"/>
    <w:rsid w:val="00FC1A83"/>
    <w:rsid w:val="00FC4FCA"/>
    <w:rsid w:val="00FC598A"/>
    <w:rsid w:val="00FC666D"/>
    <w:rsid w:val="00FD0052"/>
    <w:rsid w:val="00FD3EF2"/>
    <w:rsid w:val="00FE2C31"/>
    <w:rsid w:val="00FE3CD9"/>
    <w:rsid w:val="00FE4525"/>
    <w:rsid w:val="00FF03B9"/>
    <w:rsid w:val="00FF3248"/>
    <w:rsid w:val="010F4962"/>
    <w:rsid w:val="019DAD43"/>
    <w:rsid w:val="01D14D28"/>
    <w:rsid w:val="020396F2"/>
    <w:rsid w:val="0274565D"/>
    <w:rsid w:val="02927755"/>
    <w:rsid w:val="03ADF0FE"/>
    <w:rsid w:val="04C36034"/>
    <w:rsid w:val="0615E2AA"/>
    <w:rsid w:val="062017E5"/>
    <w:rsid w:val="06385F1B"/>
    <w:rsid w:val="06415E0E"/>
    <w:rsid w:val="06ACABD1"/>
    <w:rsid w:val="06CB5E4C"/>
    <w:rsid w:val="06E596D8"/>
    <w:rsid w:val="080CEEC7"/>
    <w:rsid w:val="096DADF2"/>
    <w:rsid w:val="0989EA14"/>
    <w:rsid w:val="0A58BA1C"/>
    <w:rsid w:val="0A63519E"/>
    <w:rsid w:val="0A7D59EC"/>
    <w:rsid w:val="0AA20E6B"/>
    <w:rsid w:val="0B2497C9"/>
    <w:rsid w:val="0B5B35FC"/>
    <w:rsid w:val="0B71048C"/>
    <w:rsid w:val="0B9FEFA0"/>
    <w:rsid w:val="0D6BB648"/>
    <w:rsid w:val="0D96C19B"/>
    <w:rsid w:val="0E56253D"/>
    <w:rsid w:val="0EDB8790"/>
    <w:rsid w:val="0EE35EAC"/>
    <w:rsid w:val="0F2E4D1C"/>
    <w:rsid w:val="0F36C2C1"/>
    <w:rsid w:val="0F77DFC9"/>
    <w:rsid w:val="0F9214EE"/>
    <w:rsid w:val="0FB57FD8"/>
    <w:rsid w:val="0FC41E29"/>
    <w:rsid w:val="11AFA461"/>
    <w:rsid w:val="11D013A0"/>
    <w:rsid w:val="12C9B5B0"/>
    <w:rsid w:val="12DCDC9B"/>
    <w:rsid w:val="12F45552"/>
    <w:rsid w:val="1315102B"/>
    <w:rsid w:val="153115AC"/>
    <w:rsid w:val="154020A7"/>
    <w:rsid w:val="159E0590"/>
    <w:rsid w:val="160BB134"/>
    <w:rsid w:val="162C5937"/>
    <w:rsid w:val="1631C59D"/>
    <w:rsid w:val="1683899B"/>
    <w:rsid w:val="16960E5A"/>
    <w:rsid w:val="1699C738"/>
    <w:rsid w:val="17133BE8"/>
    <w:rsid w:val="17573BFB"/>
    <w:rsid w:val="1760A299"/>
    <w:rsid w:val="17C43733"/>
    <w:rsid w:val="1845779F"/>
    <w:rsid w:val="1847370B"/>
    <w:rsid w:val="185E9FFC"/>
    <w:rsid w:val="1894801A"/>
    <w:rsid w:val="19722081"/>
    <w:rsid w:val="199A35F2"/>
    <w:rsid w:val="1A18D60C"/>
    <w:rsid w:val="1AAC7595"/>
    <w:rsid w:val="1BB10EB8"/>
    <w:rsid w:val="1D0DACFA"/>
    <w:rsid w:val="1D4DCCDA"/>
    <w:rsid w:val="1DD11E4A"/>
    <w:rsid w:val="1F49AC02"/>
    <w:rsid w:val="1F74A0AB"/>
    <w:rsid w:val="1F8B3038"/>
    <w:rsid w:val="1FCBC2EC"/>
    <w:rsid w:val="1FD2D85A"/>
    <w:rsid w:val="20114384"/>
    <w:rsid w:val="2067E0D4"/>
    <w:rsid w:val="20AF9B90"/>
    <w:rsid w:val="20F0A472"/>
    <w:rsid w:val="2138379D"/>
    <w:rsid w:val="218A3990"/>
    <w:rsid w:val="21BFD9C8"/>
    <w:rsid w:val="21ED58C7"/>
    <w:rsid w:val="22C8A5A8"/>
    <w:rsid w:val="22E01CD8"/>
    <w:rsid w:val="2330B106"/>
    <w:rsid w:val="2492522C"/>
    <w:rsid w:val="25564471"/>
    <w:rsid w:val="25F1C69C"/>
    <w:rsid w:val="263C719F"/>
    <w:rsid w:val="2667F115"/>
    <w:rsid w:val="26808508"/>
    <w:rsid w:val="26D048BB"/>
    <w:rsid w:val="293635FF"/>
    <w:rsid w:val="29432F67"/>
    <w:rsid w:val="29839C7D"/>
    <w:rsid w:val="2A4AAD48"/>
    <w:rsid w:val="2A7353EE"/>
    <w:rsid w:val="2A80CAF0"/>
    <w:rsid w:val="2A8F4486"/>
    <w:rsid w:val="2AB7B884"/>
    <w:rsid w:val="2B2E0DD5"/>
    <w:rsid w:val="2B60FF8D"/>
    <w:rsid w:val="2B649BBD"/>
    <w:rsid w:val="2BBBCEBC"/>
    <w:rsid w:val="2C86FF1E"/>
    <w:rsid w:val="2D615656"/>
    <w:rsid w:val="2EFF81C2"/>
    <w:rsid w:val="2FA57783"/>
    <w:rsid w:val="2FC8DE8B"/>
    <w:rsid w:val="30A429B8"/>
    <w:rsid w:val="311A00DC"/>
    <w:rsid w:val="31268BB3"/>
    <w:rsid w:val="31A46097"/>
    <w:rsid w:val="324C1E2A"/>
    <w:rsid w:val="32F28581"/>
    <w:rsid w:val="330B0C87"/>
    <w:rsid w:val="330F5203"/>
    <w:rsid w:val="33642E3E"/>
    <w:rsid w:val="339878F1"/>
    <w:rsid w:val="33A1F65F"/>
    <w:rsid w:val="3418C7D4"/>
    <w:rsid w:val="34488EFB"/>
    <w:rsid w:val="346AD442"/>
    <w:rsid w:val="34AC8388"/>
    <w:rsid w:val="34CBED49"/>
    <w:rsid w:val="35331026"/>
    <w:rsid w:val="3614B907"/>
    <w:rsid w:val="370E2B96"/>
    <w:rsid w:val="37989678"/>
    <w:rsid w:val="38037FC4"/>
    <w:rsid w:val="382E826C"/>
    <w:rsid w:val="3892C1A2"/>
    <w:rsid w:val="3977C19C"/>
    <w:rsid w:val="397EA393"/>
    <w:rsid w:val="39B9CB19"/>
    <w:rsid w:val="3AEBE7C3"/>
    <w:rsid w:val="3C4410F2"/>
    <w:rsid w:val="3C933107"/>
    <w:rsid w:val="3D20E056"/>
    <w:rsid w:val="3D631F90"/>
    <w:rsid w:val="3DE72DA4"/>
    <w:rsid w:val="3E1FCAEC"/>
    <w:rsid w:val="3EF9B3B7"/>
    <w:rsid w:val="3F2AF83D"/>
    <w:rsid w:val="3FB04FB0"/>
    <w:rsid w:val="4029B0B4"/>
    <w:rsid w:val="4089409D"/>
    <w:rsid w:val="40B91884"/>
    <w:rsid w:val="40C51AF2"/>
    <w:rsid w:val="411825AE"/>
    <w:rsid w:val="415F5934"/>
    <w:rsid w:val="42BF9C2A"/>
    <w:rsid w:val="43863AB4"/>
    <w:rsid w:val="4466AADE"/>
    <w:rsid w:val="451946A2"/>
    <w:rsid w:val="4685CEFA"/>
    <w:rsid w:val="48BFB286"/>
    <w:rsid w:val="48EBCE15"/>
    <w:rsid w:val="492925D0"/>
    <w:rsid w:val="492B6877"/>
    <w:rsid w:val="496A6B19"/>
    <w:rsid w:val="49CDE75C"/>
    <w:rsid w:val="49CDF0AA"/>
    <w:rsid w:val="49CEDBC9"/>
    <w:rsid w:val="4A4A6257"/>
    <w:rsid w:val="4B127EDC"/>
    <w:rsid w:val="4B388544"/>
    <w:rsid w:val="4B6180A6"/>
    <w:rsid w:val="4B630C82"/>
    <w:rsid w:val="4B873031"/>
    <w:rsid w:val="4CE9EB45"/>
    <w:rsid w:val="4DA702B5"/>
    <w:rsid w:val="4E8A1021"/>
    <w:rsid w:val="4F638DEF"/>
    <w:rsid w:val="506C5A2D"/>
    <w:rsid w:val="50AB6B35"/>
    <w:rsid w:val="522681C5"/>
    <w:rsid w:val="526952E5"/>
    <w:rsid w:val="52CC4F87"/>
    <w:rsid w:val="53875F28"/>
    <w:rsid w:val="53D96B3A"/>
    <w:rsid w:val="53EBE7F5"/>
    <w:rsid w:val="5424CDE4"/>
    <w:rsid w:val="54CB3143"/>
    <w:rsid w:val="5548AE75"/>
    <w:rsid w:val="55828524"/>
    <w:rsid w:val="5593A44D"/>
    <w:rsid w:val="55B2E751"/>
    <w:rsid w:val="55FB8BED"/>
    <w:rsid w:val="57403E70"/>
    <w:rsid w:val="57AE1157"/>
    <w:rsid w:val="57C4F4BC"/>
    <w:rsid w:val="584DB127"/>
    <w:rsid w:val="58A84A3F"/>
    <w:rsid w:val="597ADF6D"/>
    <w:rsid w:val="59BF06AC"/>
    <w:rsid w:val="5A4D4827"/>
    <w:rsid w:val="5AA10312"/>
    <w:rsid w:val="5AAC81FA"/>
    <w:rsid w:val="5AFA14A2"/>
    <w:rsid w:val="5B9EA460"/>
    <w:rsid w:val="5BBE26A9"/>
    <w:rsid w:val="5C7F75D2"/>
    <w:rsid w:val="5CEA796F"/>
    <w:rsid w:val="5D100662"/>
    <w:rsid w:val="5DE44E8E"/>
    <w:rsid w:val="5DE4EF18"/>
    <w:rsid w:val="5E9CAAE8"/>
    <w:rsid w:val="5EDAF297"/>
    <w:rsid w:val="5F116A8D"/>
    <w:rsid w:val="5F60E466"/>
    <w:rsid w:val="5FF9C831"/>
    <w:rsid w:val="60221A31"/>
    <w:rsid w:val="60CA6AFD"/>
    <w:rsid w:val="60F42E41"/>
    <w:rsid w:val="615BE724"/>
    <w:rsid w:val="615F9D2F"/>
    <w:rsid w:val="6162EFE0"/>
    <w:rsid w:val="6178C69A"/>
    <w:rsid w:val="61C9F84F"/>
    <w:rsid w:val="62524415"/>
    <w:rsid w:val="629097A2"/>
    <w:rsid w:val="6306564C"/>
    <w:rsid w:val="6359FE51"/>
    <w:rsid w:val="63B934E2"/>
    <w:rsid w:val="64664CAE"/>
    <w:rsid w:val="652F1A84"/>
    <w:rsid w:val="66C8AF48"/>
    <w:rsid w:val="6730E248"/>
    <w:rsid w:val="6739AC81"/>
    <w:rsid w:val="67455422"/>
    <w:rsid w:val="67F333C0"/>
    <w:rsid w:val="6910F4B7"/>
    <w:rsid w:val="6A1E757A"/>
    <w:rsid w:val="6A2FA198"/>
    <w:rsid w:val="6A320743"/>
    <w:rsid w:val="6A7485C6"/>
    <w:rsid w:val="6AA3970D"/>
    <w:rsid w:val="6B4BE7D9"/>
    <w:rsid w:val="6BB814D9"/>
    <w:rsid w:val="6BE8D164"/>
    <w:rsid w:val="6BF1435E"/>
    <w:rsid w:val="6C86DDC8"/>
    <w:rsid w:val="6CAA23BE"/>
    <w:rsid w:val="6CD0917F"/>
    <w:rsid w:val="6D40835C"/>
    <w:rsid w:val="6D754E20"/>
    <w:rsid w:val="6DB8A6B7"/>
    <w:rsid w:val="6E25ADBB"/>
    <w:rsid w:val="6EA70526"/>
    <w:rsid w:val="6EF2FDF6"/>
    <w:rsid w:val="6EFAC2C0"/>
    <w:rsid w:val="6F60EC3D"/>
    <w:rsid w:val="6F61E02D"/>
    <w:rsid w:val="701BBB75"/>
    <w:rsid w:val="702DACA3"/>
    <w:rsid w:val="70A27444"/>
    <w:rsid w:val="70DD18B4"/>
    <w:rsid w:val="71FC2EA0"/>
    <w:rsid w:val="7296D1AD"/>
    <w:rsid w:val="72BC2313"/>
    <w:rsid w:val="73114D04"/>
    <w:rsid w:val="7395DC10"/>
    <w:rsid w:val="73FAA6E7"/>
    <w:rsid w:val="740F2E39"/>
    <w:rsid w:val="749F221A"/>
    <w:rsid w:val="75C079E5"/>
    <w:rsid w:val="75FCC73C"/>
    <w:rsid w:val="76C0E44A"/>
    <w:rsid w:val="76C563D6"/>
    <w:rsid w:val="781428BA"/>
    <w:rsid w:val="78359113"/>
    <w:rsid w:val="78AA288B"/>
    <w:rsid w:val="78D8C67E"/>
    <w:rsid w:val="797B9973"/>
    <w:rsid w:val="7BAA5D42"/>
    <w:rsid w:val="7C3C62DB"/>
    <w:rsid w:val="7C47594C"/>
    <w:rsid w:val="7D013A6C"/>
    <w:rsid w:val="7D16AB3D"/>
    <w:rsid w:val="7D312C39"/>
    <w:rsid w:val="7D915483"/>
    <w:rsid w:val="7E067794"/>
    <w:rsid w:val="7ECD4747"/>
    <w:rsid w:val="7EECB1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C4566"/>
  <w15:docId w15:val="{775EBE68-3A3D-4F0F-A67B-D34FBA9F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D33"/>
    <w:pPr>
      <w:spacing w:after="0" w:line="240" w:lineRule="auto"/>
    </w:pPr>
    <w:rPr>
      <w:rFonts w:ascii="Georgia" w:hAnsi="Georg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3D33"/>
  </w:style>
  <w:style w:type="paragraph" w:styleId="ListParagraph">
    <w:name w:val="List Paragraph"/>
    <w:basedOn w:val="Normal"/>
    <w:uiPriority w:val="34"/>
    <w:qFormat/>
    <w:rsid w:val="00333D33"/>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9308B2"/>
    <w:rPr>
      <w:sz w:val="16"/>
      <w:szCs w:val="16"/>
    </w:rPr>
  </w:style>
  <w:style w:type="paragraph" w:styleId="CommentText">
    <w:name w:val="annotation text"/>
    <w:basedOn w:val="Normal"/>
    <w:link w:val="CommentTextChar"/>
    <w:uiPriority w:val="99"/>
    <w:unhideWhenUsed/>
    <w:rsid w:val="009308B2"/>
    <w:rPr>
      <w:sz w:val="20"/>
      <w:szCs w:val="20"/>
    </w:rPr>
  </w:style>
  <w:style w:type="character" w:customStyle="1" w:styleId="CommentTextChar">
    <w:name w:val="Comment Text Char"/>
    <w:basedOn w:val="DefaultParagraphFont"/>
    <w:link w:val="CommentText"/>
    <w:uiPriority w:val="99"/>
    <w:rsid w:val="009308B2"/>
    <w:rPr>
      <w:rFonts w:ascii="Georgia" w:hAnsi="Georg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308B2"/>
    <w:rPr>
      <w:b/>
      <w:bCs/>
    </w:rPr>
  </w:style>
  <w:style w:type="character" w:customStyle="1" w:styleId="CommentSubjectChar">
    <w:name w:val="Comment Subject Char"/>
    <w:basedOn w:val="CommentTextChar"/>
    <w:link w:val="CommentSubject"/>
    <w:uiPriority w:val="99"/>
    <w:semiHidden/>
    <w:rsid w:val="009308B2"/>
    <w:rPr>
      <w:rFonts w:ascii="Georgia" w:hAnsi="Georgia" w:cs="Times New Roman"/>
      <w:b/>
      <w:bCs/>
      <w:sz w:val="20"/>
      <w:szCs w:val="20"/>
      <w:lang w:eastAsia="en-GB"/>
    </w:rPr>
  </w:style>
  <w:style w:type="paragraph" w:styleId="BalloonText">
    <w:name w:val="Balloon Text"/>
    <w:basedOn w:val="Normal"/>
    <w:link w:val="BalloonTextChar"/>
    <w:uiPriority w:val="99"/>
    <w:semiHidden/>
    <w:unhideWhenUsed/>
    <w:rsid w:val="00930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8B2"/>
    <w:rPr>
      <w:rFonts w:ascii="Segoe UI" w:hAnsi="Segoe UI" w:cs="Segoe UI"/>
      <w:sz w:val="18"/>
      <w:szCs w:val="18"/>
      <w:lang w:eastAsia="en-GB"/>
    </w:rPr>
  </w:style>
  <w:style w:type="paragraph" w:styleId="Header">
    <w:name w:val="header"/>
    <w:basedOn w:val="Normal"/>
    <w:link w:val="HeaderChar"/>
    <w:uiPriority w:val="99"/>
    <w:unhideWhenUsed/>
    <w:rsid w:val="00896475"/>
    <w:pPr>
      <w:tabs>
        <w:tab w:val="center" w:pos="4680"/>
        <w:tab w:val="right" w:pos="9360"/>
      </w:tabs>
    </w:pPr>
  </w:style>
  <w:style w:type="character" w:customStyle="1" w:styleId="HeaderChar">
    <w:name w:val="Header Char"/>
    <w:basedOn w:val="DefaultParagraphFont"/>
    <w:link w:val="Header"/>
    <w:uiPriority w:val="99"/>
    <w:rsid w:val="00896475"/>
    <w:rPr>
      <w:rFonts w:ascii="Georgia" w:hAnsi="Georgia" w:cs="Times New Roman"/>
      <w:lang w:eastAsia="en-GB"/>
    </w:rPr>
  </w:style>
  <w:style w:type="paragraph" w:styleId="Footer">
    <w:name w:val="footer"/>
    <w:basedOn w:val="Normal"/>
    <w:link w:val="FooterChar"/>
    <w:uiPriority w:val="99"/>
    <w:unhideWhenUsed/>
    <w:rsid w:val="00896475"/>
    <w:pPr>
      <w:tabs>
        <w:tab w:val="center" w:pos="4680"/>
        <w:tab w:val="right" w:pos="9360"/>
      </w:tabs>
    </w:pPr>
  </w:style>
  <w:style w:type="character" w:customStyle="1" w:styleId="FooterChar">
    <w:name w:val="Footer Char"/>
    <w:basedOn w:val="DefaultParagraphFont"/>
    <w:link w:val="Footer"/>
    <w:uiPriority w:val="99"/>
    <w:rsid w:val="00896475"/>
    <w:rPr>
      <w:rFonts w:ascii="Georgia" w:hAnsi="Georgia" w:cs="Times New Roman"/>
      <w:lang w:eastAsia="en-GB"/>
    </w:rPr>
  </w:style>
  <w:style w:type="paragraph" w:styleId="Revision">
    <w:name w:val="Revision"/>
    <w:hidden/>
    <w:uiPriority w:val="99"/>
    <w:semiHidden/>
    <w:rsid w:val="008453A8"/>
    <w:pPr>
      <w:spacing w:after="0" w:line="240" w:lineRule="auto"/>
    </w:pPr>
    <w:rPr>
      <w:rFonts w:ascii="Georgia" w:hAnsi="Georgia" w:cs="Times New Roman"/>
      <w:lang w:eastAsia="en-GB"/>
    </w:rPr>
  </w:style>
  <w:style w:type="table" w:styleId="TableGrid">
    <w:name w:val="Table Grid"/>
    <w:basedOn w:val="TableNormal"/>
    <w:uiPriority w:val="39"/>
    <w:rsid w:val="00DA5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9687F"/>
  </w:style>
  <w:style w:type="character" w:styleId="Mention">
    <w:name w:val="Mention"/>
    <w:basedOn w:val="DefaultParagraphFont"/>
    <w:uiPriority w:val="99"/>
    <w:unhideWhenUsed/>
    <w:rsid w:val="00B95A7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99378">
      <w:bodyDiv w:val="1"/>
      <w:marLeft w:val="0"/>
      <w:marRight w:val="0"/>
      <w:marTop w:val="0"/>
      <w:marBottom w:val="0"/>
      <w:divBdr>
        <w:top w:val="none" w:sz="0" w:space="0" w:color="auto"/>
        <w:left w:val="none" w:sz="0" w:space="0" w:color="auto"/>
        <w:bottom w:val="none" w:sz="0" w:space="0" w:color="auto"/>
        <w:right w:val="none" w:sz="0" w:space="0" w:color="auto"/>
      </w:divBdr>
      <w:divsChild>
        <w:div w:id="260141257">
          <w:marLeft w:val="0"/>
          <w:marRight w:val="0"/>
          <w:marTop w:val="0"/>
          <w:marBottom w:val="0"/>
          <w:divBdr>
            <w:top w:val="none" w:sz="0" w:space="0" w:color="auto"/>
            <w:left w:val="none" w:sz="0" w:space="0" w:color="auto"/>
            <w:bottom w:val="none" w:sz="0" w:space="0" w:color="auto"/>
            <w:right w:val="none" w:sz="0" w:space="0" w:color="auto"/>
          </w:divBdr>
          <w:divsChild>
            <w:div w:id="179469378">
              <w:marLeft w:val="0"/>
              <w:marRight w:val="0"/>
              <w:marTop w:val="30"/>
              <w:marBottom w:val="30"/>
              <w:divBdr>
                <w:top w:val="none" w:sz="0" w:space="0" w:color="auto"/>
                <w:left w:val="none" w:sz="0" w:space="0" w:color="auto"/>
                <w:bottom w:val="none" w:sz="0" w:space="0" w:color="auto"/>
                <w:right w:val="none" w:sz="0" w:space="0" w:color="auto"/>
              </w:divBdr>
              <w:divsChild>
                <w:div w:id="47457582">
                  <w:marLeft w:val="0"/>
                  <w:marRight w:val="0"/>
                  <w:marTop w:val="0"/>
                  <w:marBottom w:val="0"/>
                  <w:divBdr>
                    <w:top w:val="none" w:sz="0" w:space="0" w:color="auto"/>
                    <w:left w:val="none" w:sz="0" w:space="0" w:color="auto"/>
                    <w:bottom w:val="none" w:sz="0" w:space="0" w:color="auto"/>
                    <w:right w:val="none" w:sz="0" w:space="0" w:color="auto"/>
                  </w:divBdr>
                  <w:divsChild>
                    <w:div w:id="1200510979">
                      <w:marLeft w:val="0"/>
                      <w:marRight w:val="0"/>
                      <w:marTop w:val="0"/>
                      <w:marBottom w:val="0"/>
                      <w:divBdr>
                        <w:top w:val="none" w:sz="0" w:space="0" w:color="auto"/>
                        <w:left w:val="none" w:sz="0" w:space="0" w:color="auto"/>
                        <w:bottom w:val="none" w:sz="0" w:space="0" w:color="auto"/>
                        <w:right w:val="none" w:sz="0" w:space="0" w:color="auto"/>
                      </w:divBdr>
                    </w:div>
                  </w:divsChild>
                </w:div>
                <w:div w:id="68425671">
                  <w:marLeft w:val="0"/>
                  <w:marRight w:val="0"/>
                  <w:marTop w:val="0"/>
                  <w:marBottom w:val="0"/>
                  <w:divBdr>
                    <w:top w:val="none" w:sz="0" w:space="0" w:color="auto"/>
                    <w:left w:val="none" w:sz="0" w:space="0" w:color="auto"/>
                    <w:bottom w:val="none" w:sz="0" w:space="0" w:color="auto"/>
                    <w:right w:val="none" w:sz="0" w:space="0" w:color="auto"/>
                  </w:divBdr>
                  <w:divsChild>
                    <w:div w:id="50227417">
                      <w:marLeft w:val="0"/>
                      <w:marRight w:val="0"/>
                      <w:marTop w:val="0"/>
                      <w:marBottom w:val="0"/>
                      <w:divBdr>
                        <w:top w:val="none" w:sz="0" w:space="0" w:color="auto"/>
                        <w:left w:val="none" w:sz="0" w:space="0" w:color="auto"/>
                        <w:bottom w:val="none" w:sz="0" w:space="0" w:color="auto"/>
                        <w:right w:val="none" w:sz="0" w:space="0" w:color="auto"/>
                      </w:divBdr>
                    </w:div>
                  </w:divsChild>
                </w:div>
                <w:div w:id="196428565">
                  <w:marLeft w:val="0"/>
                  <w:marRight w:val="0"/>
                  <w:marTop w:val="0"/>
                  <w:marBottom w:val="0"/>
                  <w:divBdr>
                    <w:top w:val="none" w:sz="0" w:space="0" w:color="auto"/>
                    <w:left w:val="none" w:sz="0" w:space="0" w:color="auto"/>
                    <w:bottom w:val="none" w:sz="0" w:space="0" w:color="auto"/>
                    <w:right w:val="none" w:sz="0" w:space="0" w:color="auto"/>
                  </w:divBdr>
                  <w:divsChild>
                    <w:div w:id="580405226">
                      <w:marLeft w:val="0"/>
                      <w:marRight w:val="0"/>
                      <w:marTop w:val="0"/>
                      <w:marBottom w:val="0"/>
                      <w:divBdr>
                        <w:top w:val="none" w:sz="0" w:space="0" w:color="auto"/>
                        <w:left w:val="none" w:sz="0" w:space="0" w:color="auto"/>
                        <w:bottom w:val="none" w:sz="0" w:space="0" w:color="auto"/>
                        <w:right w:val="none" w:sz="0" w:space="0" w:color="auto"/>
                      </w:divBdr>
                    </w:div>
                  </w:divsChild>
                </w:div>
                <w:div w:id="310717770">
                  <w:marLeft w:val="0"/>
                  <w:marRight w:val="0"/>
                  <w:marTop w:val="0"/>
                  <w:marBottom w:val="0"/>
                  <w:divBdr>
                    <w:top w:val="none" w:sz="0" w:space="0" w:color="auto"/>
                    <w:left w:val="none" w:sz="0" w:space="0" w:color="auto"/>
                    <w:bottom w:val="none" w:sz="0" w:space="0" w:color="auto"/>
                    <w:right w:val="none" w:sz="0" w:space="0" w:color="auto"/>
                  </w:divBdr>
                  <w:divsChild>
                    <w:div w:id="2016809612">
                      <w:marLeft w:val="0"/>
                      <w:marRight w:val="0"/>
                      <w:marTop w:val="0"/>
                      <w:marBottom w:val="0"/>
                      <w:divBdr>
                        <w:top w:val="none" w:sz="0" w:space="0" w:color="auto"/>
                        <w:left w:val="none" w:sz="0" w:space="0" w:color="auto"/>
                        <w:bottom w:val="none" w:sz="0" w:space="0" w:color="auto"/>
                        <w:right w:val="none" w:sz="0" w:space="0" w:color="auto"/>
                      </w:divBdr>
                    </w:div>
                  </w:divsChild>
                </w:div>
                <w:div w:id="459303858">
                  <w:marLeft w:val="0"/>
                  <w:marRight w:val="0"/>
                  <w:marTop w:val="0"/>
                  <w:marBottom w:val="0"/>
                  <w:divBdr>
                    <w:top w:val="none" w:sz="0" w:space="0" w:color="auto"/>
                    <w:left w:val="none" w:sz="0" w:space="0" w:color="auto"/>
                    <w:bottom w:val="none" w:sz="0" w:space="0" w:color="auto"/>
                    <w:right w:val="none" w:sz="0" w:space="0" w:color="auto"/>
                  </w:divBdr>
                  <w:divsChild>
                    <w:div w:id="630330023">
                      <w:marLeft w:val="0"/>
                      <w:marRight w:val="0"/>
                      <w:marTop w:val="0"/>
                      <w:marBottom w:val="0"/>
                      <w:divBdr>
                        <w:top w:val="none" w:sz="0" w:space="0" w:color="auto"/>
                        <w:left w:val="none" w:sz="0" w:space="0" w:color="auto"/>
                        <w:bottom w:val="none" w:sz="0" w:space="0" w:color="auto"/>
                        <w:right w:val="none" w:sz="0" w:space="0" w:color="auto"/>
                      </w:divBdr>
                    </w:div>
                  </w:divsChild>
                </w:div>
                <w:div w:id="612446011">
                  <w:marLeft w:val="0"/>
                  <w:marRight w:val="0"/>
                  <w:marTop w:val="0"/>
                  <w:marBottom w:val="0"/>
                  <w:divBdr>
                    <w:top w:val="none" w:sz="0" w:space="0" w:color="auto"/>
                    <w:left w:val="none" w:sz="0" w:space="0" w:color="auto"/>
                    <w:bottom w:val="none" w:sz="0" w:space="0" w:color="auto"/>
                    <w:right w:val="none" w:sz="0" w:space="0" w:color="auto"/>
                  </w:divBdr>
                  <w:divsChild>
                    <w:div w:id="1896232277">
                      <w:marLeft w:val="0"/>
                      <w:marRight w:val="0"/>
                      <w:marTop w:val="0"/>
                      <w:marBottom w:val="0"/>
                      <w:divBdr>
                        <w:top w:val="none" w:sz="0" w:space="0" w:color="auto"/>
                        <w:left w:val="none" w:sz="0" w:space="0" w:color="auto"/>
                        <w:bottom w:val="none" w:sz="0" w:space="0" w:color="auto"/>
                        <w:right w:val="none" w:sz="0" w:space="0" w:color="auto"/>
                      </w:divBdr>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754007123">
                      <w:marLeft w:val="0"/>
                      <w:marRight w:val="0"/>
                      <w:marTop w:val="0"/>
                      <w:marBottom w:val="0"/>
                      <w:divBdr>
                        <w:top w:val="none" w:sz="0" w:space="0" w:color="auto"/>
                        <w:left w:val="none" w:sz="0" w:space="0" w:color="auto"/>
                        <w:bottom w:val="none" w:sz="0" w:space="0" w:color="auto"/>
                        <w:right w:val="none" w:sz="0" w:space="0" w:color="auto"/>
                      </w:divBdr>
                    </w:div>
                  </w:divsChild>
                </w:div>
                <w:div w:id="810632496">
                  <w:marLeft w:val="0"/>
                  <w:marRight w:val="0"/>
                  <w:marTop w:val="0"/>
                  <w:marBottom w:val="0"/>
                  <w:divBdr>
                    <w:top w:val="none" w:sz="0" w:space="0" w:color="auto"/>
                    <w:left w:val="none" w:sz="0" w:space="0" w:color="auto"/>
                    <w:bottom w:val="none" w:sz="0" w:space="0" w:color="auto"/>
                    <w:right w:val="none" w:sz="0" w:space="0" w:color="auto"/>
                  </w:divBdr>
                  <w:divsChild>
                    <w:div w:id="278536833">
                      <w:marLeft w:val="0"/>
                      <w:marRight w:val="0"/>
                      <w:marTop w:val="0"/>
                      <w:marBottom w:val="0"/>
                      <w:divBdr>
                        <w:top w:val="none" w:sz="0" w:space="0" w:color="auto"/>
                        <w:left w:val="none" w:sz="0" w:space="0" w:color="auto"/>
                        <w:bottom w:val="none" w:sz="0" w:space="0" w:color="auto"/>
                        <w:right w:val="none" w:sz="0" w:space="0" w:color="auto"/>
                      </w:divBdr>
                    </w:div>
                  </w:divsChild>
                </w:div>
                <w:div w:id="993530723">
                  <w:marLeft w:val="0"/>
                  <w:marRight w:val="0"/>
                  <w:marTop w:val="0"/>
                  <w:marBottom w:val="0"/>
                  <w:divBdr>
                    <w:top w:val="none" w:sz="0" w:space="0" w:color="auto"/>
                    <w:left w:val="none" w:sz="0" w:space="0" w:color="auto"/>
                    <w:bottom w:val="none" w:sz="0" w:space="0" w:color="auto"/>
                    <w:right w:val="none" w:sz="0" w:space="0" w:color="auto"/>
                  </w:divBdr>
                  <w:divsChild>
                    <w:div w:id="365446103">
                      <w:marLeft w:val="0"/>
                      <w:marRight w:val="0"/>
                      <w:marTop w:val="0"/>
                      <w:marBottom w:val="0"/>
                      <w:divBdr>
                        <w:top w:val="none" w:sz="0" w:space="0" w:color="auto"/>
                        <w:left w:val="none" w:sz="0" w:space="0" w:color="auto"/>
                        <w:bottom w:val="none" w:sz="0" w:space="0" w:color="auto"/>
                        <w:right w:val="none" w:sz="0" w:space="0" w:color="auto"/>
                      </w:divBdr>
                    </w:div>
                  </w:divsChild>
                </w:div>
                <w:div w:id="1039747171">
                  <w:marLeft w:val="0"/>
                  <w:marRight w:val="0"/>
                  <w:marTop w:val="0"/>
                  <w:marBottom w:val="0"/>
                  <w:divBdr>
                    <w:top w:val="none" w:sz="0" w:space="0" w:color="auto"/>
                    <w:left w:val="none" w:sz="0" w:space="0" w:color="auto"/>
                    <w:bottom w:val="none" w:sz="0" w:space="0" w:color="auto"/>
                    <w:right w:val="none" w:sz="0" w:space="0" w:color="auto"/>
                  </w:divBdr>
                  <w:divsChild>
                    <w:div w:id="1187711825">
                      <w:marLeft w:val="0"/>
                      <w:marRight w:val="0"/>
                      <w:marTop w:val="0"/>
                      <w:marBottom w:val="0"/>
                      <w:divBdr>
                        <w:top w:val="none" w:sz="0" w:space="0" w:color="auto"/>
                        <w:left w:val="none" w:sz="0" w:space="0" w:color="auto"/>
                        <w:bottom w:val="none" w:sz="0" w:space="0" w:color="auto"/>
                        <w:right w:val="none" w:sz="0" w:space="0" w:color="auto"/>
                      </w:divBdr>
                    </w:div>
                  </w:divsChild>
                </w:div>
                <w:div w:id="1251037557">
                  <w:marLeft w:val="0"/>
                  <w:marRight w:val="0"/>
                  <w:marTop w:val="0"/>
                  <w:marBottom w:val="0"/>
                  <w:divBdr>
                    <w:top w:val="none" w:sz="0" w:space="0" w:color="auto"/>
                    <w:left w:val="none" w:sz="0" w:space="0" w:color="auto"/>
                    <w:bottom w:val="none" w:sz="0" w:space="0" w:color="auto"/>
                    <w:right w:val="none" w:sz="0" w:space="0" w:color="auto"/>
                  </w:divBdr>
                  <w:divsChild>
                    <w:div w:id="285502323">
                      <w:marLeft w:val="0"/>
                      <w:marRight w:val="0"/>
                      <w:marTop w:val="0"/>
                      <w:marBottom w:val="0"/>
                      <w:divBdr>
                        <w:top w:val="none" w:sz="0" w:space="0" w:color="auto"/>
                        <w:left w:val="none" w:sz="0" w:space="0" w:color="auto"/>
                        <w:bottom w:val="none" w:sz="0" w:space="0" w:color="auto"/>
                        <w:right w:val="none" w:sz="0" w:space="0" w:color="auto"/>
                      </w:divBdr>
                    </w:div>
                  </w:divsChild>
                </w:div>
                <w:div w:id="1392003540">
                  <w:marLeft w:val="0"/>
                  <w:marRight w:val="0"/>
                  <w:marTop w:val="0"/>
                  <w:marBottom w:val="0"/>
                  <w:divBdr>
                    <w:top w:val="none" w:sz="0" w:space="0" w:color="auto"/>
                    <w:left w:val="none" w:sz="0" w:space="0" w:color="auto"/>
                    <w:bottom w:val="none" w:sz="0" w:space="0" w:color="auto"/>
                    <w:right w:val="none" w:sz="0" w:space="0" w:color="auto"/>
                  </w:divBdr>
                  <w:divsChild>
                    <w:div w:id="998852348">
                      <w:marLeft w:val="0"/>
                      <w:marRight w:val="0"/>
                      <w:marTop w:val="0"/>
                      <w:marBottom w:val="0"/>
                      <w:divBdr>
                        <w:top w:val="none" w:sz="0" w:space="0" w:color="auto"/>
                        <w:left w:val="none" w:sz="0" w:space="0" w:color="auto"/>
                        <w:bottom w:val="none" w:sz="0" w:space="0" w:color="auto"/>
                        <w:right w:val="none" w:sz="0" w:space="0" w:color="auto"/>
                      </w:divBdr>
                    </w:div>
                  </w:divsChild>
                </w:div>
                <w:div w:id="1669673461">
                  <w:marLeft w:val="0"/>
                  <w:marRight w:val="0"/>
                  <w:marTop w:val="0"/>
                  <w:marBottom w:val="0"/>
                  <w:divBdr>
                    <w:top w:val="none" w:sz="0" w:space="0" w:color="auto"/>
                    <w:left w:val="none" w:sz="0" w:space="0" w:color="auto"/>
                    <w:bottom w:val="none" w:sz="0" w:space="0" w:color="auto"/>
                    <w:right w:val="none" w:sz="0" w:space="0" w:color="auto"/>
                  </w:divBdr>
                  <w:divsChild>
                    <w:div w:id="199365112">
                      <w:marLeft w:val="0"/>
                      <w:marRight w:val="0"/>
                      <w:marTop w:val="0"/>
                      <w:marBottom w:val="0"/>
                      <w:divBdr>
                        <w:top w:val="none" w:sz="0" w:space="0" w:color="auto"/>
                        <w:left w:val="none" w:sz="0" w:space="0" w:color="auto"/>
                        <w:bottom w:val="none" w:sz="0" w:space="0" w:color="auto"/>
                        <w:right w:val="none" w:sz="0" w:space="0" w:color="auto"/>
                      </w:divBdr>
                    </w:div>
                  </w:divsChild>
                </w:div>
                <w:div w:id="1887643986">
                  <w:marLeft w:val="0"/>
                  <w:marRight w:val="0"/>
                  <w:marTop w:val="0"/>
                  <w:marBottom w:val="0"/>
                  <w:divBdr>
                    <w:top w:val="none" w:sz="0" w:space="0" w:color="auto"/>
                    <w:left w:val="none" w:sz="0" w:space="0" w:color="auto"/>
                    <w:bottom w:val="none" w:sz="0" w:space="0" w:color="auto"/>
                    <w:right w:val="none" w:sz="0" w:space="0" w:color="auto"/>
                  </w:divBdr>
                  <w:divsChild>
                    <w:div w:id="3710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75273">
          <w:marLeft w:val="0"/>
          <w:marRight w:val="0"/>
          <w:marTop w:val="0"/>
          <w:marBottom w:val="0"/>
          <w:divBdr>
            <w:top w:val="none" w:sz="0" w:space="0" w:color="auto"/>
            <w:left w:val="none" w:sz="0" w:space="0" w:color="auto"/>
            <w:bottom w:val="none" w:sz="0" w:space="0" w:color="auto"/>
            <w:right w:val="none" w:sz="0" w:space="0" w:color="auto"/>
          </w:divBdr>
        </w:div>
      </w:divsChild>
    </w:div>
    <w:div w:id="256718425">
      <w:bodyDiv w:val="1"/>
      <w:marLeft w:val="0"/>
      <w:marRight w:val="0"/>
      <w:marTop w:val="0"/>
      <w:marBottom w:val="0"/>
      <w:divBdr>
        <w:top w:val="none" w:sz="0" w:space="0" w:color="auto"/>
        <w:left w:val="none" w:sz="0" w:space="0" w:color="auto"/>
        <w:bottom w:val="none" w:sz="0" w:space="0" w:color="auto"/>
        <w:right w:val="none" w:sz="0" w:space="0" w:color="auto"/>
      </w:divBdr>
      <w:divsChild>
        <w:div w:id="1568148738">
          <w:marLeft w:val="0"/>
          <w:marRight w:val="0"/>
          <w:marTop w:val="0"/>
          <w:marBottom w:val="0"/>
          <w:divBdr>
            <w:top w:val="none" w:sz="0" w:space="0" w:color="auto"/>
            <w:left w:val="none" w:sz="0" w:space="0" w:color="auto"/>
            <w:bottom w:val="none" w:sz="0" w:space="0" w:color="auto"/>
            <w:right w:val="none" w:sz="0" w:space="0" w:color="auto"/>
          </w:divBdr>
          <w:divsChild>
            <w:div w:id="622151881">
              <w:marLeft w:val="0"/>
              <w:marRight w:val="0"/>
              <w:marTop w:val="30"/>
              <w:marBottom w:val="30"/>
              <w:divBdr>
                <w:top w:val="none" w:sz="0" w:space="0" w:color="auto"/>
                <w:left w:val="none" w:sz="0" w:space="0" w:color="auto"/>
                <w:bottom w:val="none" w:sz="0" w:space="0" w:color="auto"/>
                <w:right w:val="none" w:sz="0" w:space="0" w:color="auto"/>
              </w:divBdr>
              <w:divsChild>
                <w:div w:id="75520332">
                  <w:marLeft w:val="0"/>
                  <w:marRight w:val="0"/>
                  <w:marTop w:val="0"/>
                  <w:marBottom w:val="0"/>
                  <w:divBdr>
                    <w:top w:val="none" w:sz="0" w:space="0" w:color="auto"/>
                    <w:left w:val="none" w:sz="0" w:space="0" w:color="auto"/>
                    <w:bottom w:val="none" w:sz="0" w:space="0" w:color="auto"/>
                    <w:right w:val="none" w:sz="0" w:space="0" w:color="auto"/>
                  </w:divBdr>
                  <w:divsChild>
                    <w:div w:id="1666277009">
                      <w:marLeft w:val="0"/>
                      <w:marRight w:val="0"/>
                      <w:marTop w:val="0"/>
                      <w:marBottom w:val="0"/>
                      <w:divBdr>
                        <w:top w:val="none" w:sz="0" w:space="0" w:color="auto"/>
                        <w:left w:val="none" w:sz="0" w:space="0" w:color="auto"/>
                        <w:bottom w:val="none" w:sz="0" w:space="0" w:color="auto"/>
                        <w:right w:val="none" w:sz="0" w:space="0" w:color="auto"/>
                      </w:divBdr>
                    </w:div>
                  </w:divsChild>
                </w:div>
                <w:div w:id="154152098">
                  <w:marLeft w:val="0"/>
                  <w:marRight w:val="0"/>
                  <w:marTop w:val="0"/>
                  <w:marBottom w:val="0"/>
                  <w:divBdr>
                    <w:top w:val="none" w:sz="0" w:space="0" w:color="auto"/>
                    <w:left w:val="none" w:sz="0" w:space="0" w:color="auto"/>
                    <w:bottom w:val="none" w:sz="0" w:space="0" w:color="auto"/>
                    <w:right w:val="none" w:sz="0" w:space="0" w:color="auto"/>
                  </w:divBdr>
                  <w:divsChild>
                    <w:div w:id="64182485">
                      <w:marLeft w:val="0"/>
                      <w:marRight w:val="0"/>
                      <w:marTop w:val="0"/>
                      <w:marBottom w:val="0"/>
                      <w:divBdr>
                        <w:top w:val="none" w:sz="0" w:space="0" w:color="auto"/>
                        <w:left w:val="none" w:sz="0" w:space="0" w:color="auto"/>
                        <w:bottom w:val="none" w:sz="0" w:space="0" w:color="auto"/>
                        <w:right w:val="none" w:sz="0" w:space="0" w:color="auto"/>
                      </w:divBdr>
                    </w:div>
                  </w:divsChild>
                </w:div>
                <w:div w:id="744180885">
                  <w:marLeft w:val="0"/>
                  <w:marRight w:val="0"/>
                  <w:marTop w:val="0"/>
                  <w:marBottom w:val="0"/>
                  <w:divBdr>
                    <w:top w:val="none" w:sz="0" w:space="0" w:color="auto"/>
                    <w:left w:val="none" w:sz="0" w:space="0" w:color="auto"/>
                    <w:bottom w:val="none" w:sz="0" w:space="0" w:color="auto"/>
                    <w:right w:val="none" w:sz="0" w:space="0" w:color="auto"/>
                  </w:divBdr>
                  <w:divsChild>
                    <w:div w:id="1003893705">
                      <w:marLeft w:val="0"/>
                      <w:marRight w:val="0"/>
                      <w:marTop w:val="0"/>
                      <w:marBottom w:val="0"/>
                      <w:divBdr>
                        <w:top w:val="none" w:sz="0" w:space="0" w:color="auto"/>
                        <w:left w:val="none" w:sz="0" w:space="0" w:color="auto"/>
                        <w:bottom w:val="none" w:sz="0" w:space="0" w:color="auto"/>
                        <w:right w:val="none" w:sz="0" w:space="0" w:color="auto"/>
                      </w:divBdr>
                    </w:div>
                  </w:divsChild>
                </w:div>
                <w:div w:id="776755927">
                  <w:marLeft w:val="0"/>
                  <w:marRight w:val="0"/>
                  <w:marTop w:val="0"/>
                  <w:marBottom w:val="0"/>
                  <w:divBdr>
                    <w:top w:val="none" w:sz="0" w:space="0" w:color="auto"/>
                    <w:left w:val="none" w:sz="0" w:space="0" w:color="auto"/>
                    <w:bottom w:val="none" w:sz="0" w:space="0" w:color="auto"/>
                    <w:right w:val="none" w:sz="0" w:space="0" w:color="auto"/>
                  </w:divBdr>
                  <w:divsChild>
                    <w:div w:id="317465463">
                      <w:marLeft w:val="0"/>
                      <w:marRight w:val="0"/>
                      <w:marTop w:val="0"/>
                      <w:marBottom w:val="0"/>
                      <w:divBdr>
                        <w:top w:val="none" w:sz="0" w:space="0" w:color="auto"/>
                        <w:left w:val="none" w:sz="0" w:space="0" w:color="auto"/>
                        <w:bottom w:val="none" w:sz="0" w:space="0" w:color="auto"/>
                        <w:right w:val="none" w:sz="0" w:space="0" w:color="auto"/>
                      </w:divBdr>
                    </w:div>
                  </w:divsChild>
                </w:div>
                <w:div w:id="921183650">
                  <w:marLeft w:val="0"/>
                  <w:marRight w:val="0"/>
                  <w:marTop w:val="0"/>
                  <w:marBottom w:val="0"/>
                  <w:divBdr>
                    <w:top w:val="none" w:sz="0" w:space="0" w:color="auto"/>
                    <w:left w:val="none" w:sz="0" w:space="0" w:color="auto"/>
                    <w:bottom w:val="none" w:sz="0" w:space="0" w:color="auto"/>
                    <w:right w:val="none" w:sz="0" w:space="0" w:color="auto"/>
                  </w:divBdr>
                  <w:divsChild>
                    <w:div w:id="1110969733">
                      <w:marLeft w:val="0"/>
                      <w:marRight w:val="0"/>
                      <w:marTop w:val="0"/>
                      <w:marBottom w:val="0"/>
                      <w:divBdr>
                        <w:top w:val="none" w:sz="0" w:space="0" w:color="auto"/>
                        <w:left w:val="none" w:sz="0" w:space="0" w:color="auto"/>
                        <w:bottom w:val="none" w:sz="0" w:space="0" w:color="auto"/>
                        <w:right w:val="none" w:sz="0" w:space="0" w:color="auto"/>
                      </w:divBdr>
                    </w:div>
                  </w:divsChild>
                </w:div>
                <w:div w:id="938097351">
                  <w:marLeft w:val="0"/>
                  <w:marRight w:val="0"/>
                  <w:marTop w:val="0"/>
                  <w:marBottom w:val="0"/>
                  <w:divBdr>
                    <w:top w:val="none" w:sz="0" w:space="0" w:color="auto"/>
                    <w:left w:val="none" w:sz="0" w:space="0" w:color="auto"/>
                    <w:bottom w:val="none" w:sz="0" w:space="0" w:color="auto"/>
                    <w:right w:val="none" w:sz="0" w:space="0" w:color="auto"/>
                  </w:divBdr>
                  <w:divsChild>
                    <w:div w:id="1891453438">
                      <w:marLeft w:val="0"/>
                      <w:marRight w:val="0"/>
                      <w:marTop w:val="0"/>
                      <w:marBottom w:val="0"/>
                      <w:divBdr>
                        <w:top w:val="none" w:sz="0" w:space="0" w:color="auto"/>
                        <w:left w:val="none" w:sz="0" w:space="0" w:color="auto"/>
                        <w:bottom w:val="none" w:sz="0" w:space="0" w:color="auto"/>
                        <w:right w:val="none" w:sz="0" w:space="0" w:color="auto"/>
                      </w:divBdr>
                    </w:div>
                  </w:divsChild>
                </w:div>
                <w:div w:id="1065109858">
                  <w:marLeft w:val="0"/>
                  <w:marRight w:val="0"/>
                  <w:marTop w:val="0"/>
                  <w:marBottom w:val="0"/>
                  <w:divBdr>
                    <w:top w:val="none" w:sz="0" w:space="0" w:color="auto"/>
                    <w:left w:val="none" w:sz="0" w:space="0" w:color="auto"/>
                    <w:bottom w:val="none" w:sz="0" w:space="0" w:color="auto"/>
                    <w:right w:val="none" w:sz="0" w:space="0" w:color="auto"/>
                  </w:divBdr>
                  <w:divsChild>
                    <w:div w:id="1226720192">
                      <w:marLeft w:val="0"/>
                      <w:marRight w:val="0"/>
                      <w:marTop w:val="0"/>
                      <w:marBottom w:val="0"/>
                      <w:divBdr>
                        <w:top w:val="none" w:sz="0" w:space="0" w:color="auto"/>
                        <w:left w:val="none" w:sz="0" w:space="0" w:color="auto"/>
                        <w:bottom w:val="none" w:sz="0" w:space="0" w:color="auto"/>
                        <w:right w:val="none" w:sz="0" w:space="0" w:color="auto"/>
                      </w:divBdr>
                    </w:div>
                  </w:divsChild>
                </w:div>
                <w:div w:id="1085609012">
                  <w:marLeft w:val="0"/>
                  <w:marRight w:val="0"/>
                  <w:marTop w:val="0"/>
                  <w:marBottom w:val="0"/>
                  <w:divBdr>
                    <w:top w:val="none" w:sz="0" w:space="0" w:color="auto"/>
                    <w:left w:val="none" w:sz="0" w:space="0" w:color="auto"/>
                    <w:bottom w:val="none" w:sz="0" w:space="0" w:color="auto"/>
                    <w:right w:val="none" w:sz="0" w:space="0" w:color="auto"/>
                  </w:divBdr>
                  <w:divsChild>
                    <w:div w:id="1253969749">
                      <w:marLeft w:val="0"/>
                      <w:marRight w:val="0"/>
                      <w:marTop w:val="0"/>
                      <w:marBottom w:val="0"/>
                      <w:divBdr>
                        <w:top w:val="none" w:sz="0" w:space="0" w:color="auto"/>
                        <w:left w:val="none" w:sz="0" w:space="0" w:color="auto"/>
                        <w:bottom w:val="none" w:sz="0" w:space="0" w:color="auto"/>
                        <w:right w:val="none" w:sz="0" w:space="0" w:color="auto"/>
                      </w:divBdr>
                    </w:div>
                  </w:divsChild>
                </w:div>
                <w:div w:id="1091203380">
                  <w:marLeft w:val="0"/>
                  <w:marRight w:val="0"/>
                  <w:marTop w:val="0"/>
                  <w:marBottom w:val="0"/>
                  <w:divBdr>
                    <w:top w:val="none" w:sz="0" w:space="0" w:color="auto"/>
                    <w:left w:val="none" w:sz="0" w:space="0" w:color="auto"/>
                    <w:bottom w:val="none" w:sz="0" w:space="0" w:color="auto"/>
                    <w:right w:val="none" w:sz="0" w:space="0" w:color="auto"/>
                  </w:divBdr>
                  <w:divsChild>
                    <w:div w:id="362443832">
                      <w:marLeft w:val="0"/>
                      <w:marRight w:val="0"/>
                      <w:marTop w:val="0"/>
                      <w:marBottom w:val="0"/>
                      <w:divBdr>
                        <w:top w:val="none" w:sz="0" w:space="0" w:color="auto"/>
                        <w:left w:val="none" w:sz="0" w:space="0" w:color="auto"/>
                        <w:bottom w:val="none" w:sz="0" w:space="0" w:color="auto"/>
                        <w:right w:val="none" w:sz="0" w:space="0" w:color="auto"/>
                      </w:divBdr>
                    </w:div>
                  </w:divsChild>
                </w:div>
                <w:div w:id="1616130854">
                  <w:marLeft w:val="0"/>
                  <w:marRight w:val="0"/>
                  <w:marTop w:val="0"/>
                  <w:marBottom w:val="0"/>
                  <w:divBdr>
                    <w:top w:val="none" w:sz="0" w:space="0" w:color="auto"/>
                    <w:left w:val="none" w:sz="0" w:space="0" w:color="auto"/>
                    <w:bottom w:val="none" w:sz="0" w:space="0" w:color="auto"/>
                    <w:right w:val="none" w:sz="0" w:space="0" w:color="auto"/>
                  </w:divBdr>
                  <w:divsChild>
                    <w:div w:id="1894152503">
                      <w:marLeft w:val="0"/>
                      <w:marRight w:val="0"/>
                      <w:marTop w:val="0"/>
                      <w:marBottom w:val="0"/>
                      <w:divBdr>
                        <w:top w:val="none" w:sz="0" w:space="0" w:color="auto"/>
                        <w:left w:val="none" w:sz="0" w:space="0" w:color="auto"/>
                        <w:bottom w:val="none" w:sz="0" w:space="0" w:color="auto"/>
                        <w:right w:val="none" w:sz="0" w:space="0" w:color="auto"/>
                      </w:divBdr>
                    </w:div>
                  </w:divsChild>
                </w:div>
                <w:div w:id="1750227888">
                  <w:marLeft w:val="0"/>
                  <w:marRight w:val="0"/>
                  <w:marTop w:val="0"/>
                  <w:marBottom w:val="0"/>
                  <w:divBdr>
                    <w:top w:val="none" w:sz="0" w:space="0" w:color="auto"/>
                    <w:left w:val="none" w:sz="0" w:space="0" w:color="auto"/>
                    <w:bottom w:val="none" w:sz="0" w:space="0" w:color="auto"/>
                    <w:right w:val="none" w:sz="0" w:space="0" w:color="auto"/>
                  </w:divBdr>
                  <w:divsChild>
                    <w:div w:id="2075547500">
                      <w:marLeft w:val="0"/>
                      <w:marRight w:val="0"/>
                      <w:marTop w:val="0"/>
                      <w:marBottom w:val="0"/>
                      <w:divBdr>
                        <w:top w:val="none" w:sz="0" w:space="0" w:color="auto"/>
                        <w:left w:val="none" w:sz="0" w:space="0" w:color="auto"/>
                        <w:bottom w:val="none" w:sz="0" w:space="0" w:color="auto"/>
                        <w:right w:val="none" w:sz="0" w:space="0" w:color="auto"/>
                      </w:divBdr>
                    </w:div>
                  </w:divsChild>
                </w:div>
                <w:div w:id="1819880104">
                  <w:marLeft w:val="0"/>
                  <w:marRight w:val="0"/>
                  <w:marTop w:val="0"/>
                  <w:marBottom w:val="0"/>
                  <w:divBdr>
                    <w:top w:val="none" w:sz="0" w:space="0" w:color="auto"/>
                    <w:left w:val="none" w:sz="0" w:space="0" w:color="auto"/>
                    <w:bottom w:val="none" w:sz="0" w:space="0" w:color="auto"/>
                    <w:right w:val="none" w:sz="0" w:space="0" w:color="auto"/>
                  </w:divBdr>
                  <w:divsChild>
                    <w:div w:id="419179049">
                      <w:marLeft w:val="0"/>
                      <w:marRight w:val="0"/>
                      <w:marTop w:val="0"/>
                      <w:marBottom w:val="0"/>
                      <w:divBdr>
                        <w:top w:val="none" w:sz="0" w:space="0" w:color="auto"/>
                        <w:left w:val="none" w:sz="0" w:space="0" w:color="auto"/>
                        <w:bottom w:val="none" w:sz="0" w:space="0" w:color="auto"/>
                        <w:right w:val="none" w:sz="0" w:space="0" w:color="auto"/>
                      </w:divBdr>
                    </w:div>
                  </w:divsChild>
                </w:div>
                <w:div w:id="1822194218">
                  <w:marLeft w:val="0"/>
                  <w:marRight w:val="0"/>
                  <w:marTop w:val="0"/>
                  <w:marBottom w:val="0"/>
                  <w:divBdr>
                    <w:top w:val="none" w:sz="0" w:space="0" w:color="auto"/>
                    <w:left w:val="none" w:sz="0" w:space="0" w:color="auto"/>
                    <w:bottom w:val="none" w:sz="0" w:space="0" w:color="auto"/>
                    <w:right w:val="none" w:sz="0" w:space="0" w:color="auto"/>
                  </w:divBdr>
                  <w:divsChild>
                    <w:div w:id="413093005">
                      <w:marLeft w:val="0"/>
                      <w:marRight w:val="0"/>
                      <w:marTop w:val="0"/>
                      <w:marBottom w:val="0"/>
                      <w:divBdr>
                        <w:top w:val="none" w:sz="0" w:space="0" w:color="auto"/>
                        <w:left w:val="none" w:sz="0" w:space="0" w:color="auto"/>
                        <w:bottom w:val="none" w:sz="0" w:space="0" w:color="auto"/>
                        <w:right w:val="none" w:sz="0" w:space="0" w:color="auto"/>
                      </w:divBdr>
                    </w:div>
                  </w:divsChild>
                </w:div>
                <w:div w:id="1967857649">
                  <w:marLeft w:val="0"/>
                  <w:marRight w:val="0"/>
                  <w:marTop w:val="0"/>
                  <w:marBottom w:val="0"/>
                  <w:divBdr>
                    <w:top w:val="none" w:sz="0" w:space="0" w:color="auto"/>
                    <w:left w:val="none" w:sz="0" w:space="0" w:color="auto"/>
                    <w:bottom w:val="none" w:sz="0" w:space="0" w:color="auto"/>
                    <w:right w:val="none" w:sz="0" w:space="0" w:color="auto"/>
                  </w:divBdr>
                  <w:divsChild>
                    <w:div w:id="18243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9813">
          <w:marLeft w:val="0"/>
          <w:marRight w:val="0"/>
          <w:marTop w:val="0"/>
          <w:marBottom w:val="0"/>
          <w:divBdr>
            <w:top w:val="none" w:sz="0" w:space="0" w:color="auto"/>
            <w:left w:val="none" w:sz="0" w:space="0" w:color="auto"/>
            <w:bottom w:val="none" w:sz="0" w:space="0" w:color="auto"/>
            <w:right w:val="none" w:sz="0" w:space="0" w:color="auto"/>
          </w:divBdr>
        </w:div>
      </w:divsChild>
    </w:div>
    <w:div w:id="21429942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F2B2E87AA589468605FB89BD8B5E58" ma:contentTypeVersion="22" ma:contentTypeDescription="Create a new document." ma:contentTypeScope="" ma:versionID="f2bfdad4a7115589e17d7156cc892fa8">
  <xsd:schema xmlns:xsd="http://www.w3.org/2001/XMLSchema" xmlns:xs="http://www.w3.org/2001/XMLSchema" xmlns:p="http://schemas.microsoft.com/office/2006/metadata/properties" xmlns:ns2="cd78763a-b268-49dc-a2c5-3ef1ab83c425" xmlns:ns3="98142154-8c2f-4d74-96ef-4a872fda751f" targetNamespace="http://schemas.microsoft.com/office/2006/metadata/properties" ma:root="true" ma:fieldsID="0ecc30e1ccb23b88738d4f7b62cf0b6a" ns2:_="" ns3:_="">
    <xsd:import namespace="cd78763a-b268-49dc-a2c5-3ef1ab83c425"/>
    <xsd:import namespace="98142154-8c2f-4d74-96ef-4a872fda751f"/>
    <xsd:element name="properties">
      <xsd:complexType>
        <xsd:sequence>
          <xsd:element name="documentManagement">
            <xsd:complexType>
              <xsd:all>
                <xsd:element ref="ns2:Region"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Reviewed"/>
                <xsd:element ref="ns2:HFD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8763a-b268-49dc-a2c5-3ef1ab83c425"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hidden="true"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bc5697c-9d86-4020-9001-b7da5740438e" ma:termSetId="09814cd3-568e-fe90-9814-8d621ff8fb84" ma:anchorId="fba54fb3-c3e1-fe81-a776-ca4b69148c4d" ma:open="true" ma:isKeyword="false">
      <xsd:complexType>
        <xsd:sequence>
          <xsd:element ref="pc:Terms" minOccurs="0" maxOccurs="1"/>
        </xsd:sequence>
      </xsd:complexType>
    </xsd:element>
    <xsd:element name="Reviewed" ma:index="25" ma:displayName="Reviewed" ma:default="0" ma:format="Dropdown" ma:internalName="Reviewed">
      <xsd:simpleType>
        <xsd:restriction base="dms:Boolean"/>
      </xsd:simpleType>
    </xsd:element>
    <xsd:element name="HFDNotes" ma:index="26" nillable="true" ma:displayName="Sign-off status" ma:format="Dropdown" ma:internalName="HFDNotes">
      <xsd:simpleType>
        <xsd:restriction base="dms:Text">
          <xsd:maxLength value="255"/>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142154-8c2f-4d74-96ef-4a872fda751f"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ccc1ef81-e289-4c4b-89f0-f111aff8c217}" ma:internalName="TaxCatchAll" ma:showField="CatchAllData" ma:web="98142154-8c2f-4d74-96ef-4a872fda75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d78763a-b268-49dc-a2c5-3ef1ab83c425">
      <Terms xmlns="http://schemas.microsoft.com/office/infopath/2007/PartnerControls"/>
    </lcf76f155ced4ddcb4097134ff3c332f>
    <HFDNotes xmlns="cd78763a-b268-49dc-a2c5-3ef1ab83c425" xsi:nil="true"/>
    <Reviewed xmlns="cd78763a-b268-49dc-a2c5-3ef1ab83c425"/>
    <Region xmlns="cd78763a-b268-49dc-a2c5-3ef1ab83c425" xsi:nil="true"/>
    <TaxCatchAll xmlns="98142154-8c2f-4d74-96ef-4a872fda751f" xsi:nil="true"/>
    <SharedWithUsers xmlns="98142154-8c2f-4d74-96ef-4a872fda751f">
      <UserInfo>
        <DisplayName/>
        <AccountId xsi:nil="true"/>
        <AccountType/>
      </UserInfo>
    </SharedWithUsers>
  </documentManagement>
</p:properties>
</file>

<file path=customXml/itemProps1.xml><?xml version="1.0" encoding="utf-8"?>
<ds:datastoreItem xmlns:ds="http://schemas.openxmlformats.org/officeDocument/2006/customXml" ds:itemID="{931861E4-2191-4ECF-9BF8-B664AA81C643}">
  <ds:schemaRefs>
    <ds:schemaRef ds:uri="http://schemas.microsoft.com/sharepoint/v3/contenttype/forms"/>
  </ds:schemaRefs>
</ds:datastoreItem>
</file>

<file path=customXml/itemProps2.xml><?xml version="1.0" encoding="utf-8"?>
<ds:datastoreItem xmlns:ds="http://schemas.openxmlformats.org/officeDocument/2006/customXml" ds:itemID="{2FD6F9F8-30DB-4165-A23F-D4DB5C06E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8763a-b268-49dc-a2c5-3ef1ab83c425"/>
    <ds:schemaRef ds:uri="98142154-8c2f-4d74-96ef-4a872fda7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487A6-40C3-4F00-AF3B-6CAB3D8ACCF9}">
  <ds:schemaRefs>
    <ds:schemaRef ds:uri="http://schemas.openxmlformats.org/officeDocument/2006/bibliography"/>
  </ds:schemaRefs>
</ds:datastoreItem>
</file>

<file path=customXml/itemProps4.xml><?xml version="1.0" encoding="utf-8"?>
<ds:datastoreItem xmlns:ds="http://schemas.openxmlformats.org/officeDocument/2006/customXml" ds:itemID="{529FFA3A-E434-49BB-9822-710AEC32956A}">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8142154-8c2f-4d74-96ef-4a872fda751f"/>
    <ds:schemaRef ds:uri="http://purl.org/dc/elements/1.1/"/>
    <ds:schemaRef ds:uri="cd78763a-b268-49dc-a2c5-3ef1ab83c425"/>
    <ds:schemaRef ds:uri="http://www.w3.org/XML/1998/namespace"/>
    <ds:schemaRef ds:uri="http://purl.org/dc/dcmitype/"/>
  </ds:schemaRefs>
</ds:datastoreItem>
</file>

<file path=docMetadata/LabelInfo.xml><?xml version="1.0" encoding="utf-8"?>
<clbl:labelList xmlns:clbl="http://schemas.microsoft.com/office/2020/mipLabelMetadata">
  <clbl:label id="{77920909-8782-4efb-aaf1-44ac114d7c03}" enabled="0" method="" siteId="{77920909-8782-4efb-aaf1-44ac114d7c03}" removed="1"/>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1698</Words>
  <Characters>9685</Characters>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2023-11-29T15:14:00Z</dcterms:created>
  <dcterms:modified xsi:type="dcterms:W3CDTF">2023-11-29T15:14:00Z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0x01010005F2B2E87AA589468605FB89BD8B5E58</vt:lpwstr>
  </property>
  <property fmtid="{D5CDD505-2E9C-101B-9397-08002B2CF9AE}" pid="3" name="_dlc_DocIdItemGuid">
    <vt:lpwstr>26b202fa-90ba-4e00-816a-36cc865bfff3</vt:lpwstr>
  </property>
  <property fmtid="{D5CDD505-2E9C-101B-9397-08002B2CF9AE}" pid="4" name="MediaServiceImageTags">
    <vt:lpwstr/>
  </property>
</Properties>
</file>