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41B536B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3E9A54D5" w14:textId="0DB30340" w:rsidR="007043C7" w:rsidRPr="00777F70" w:rsidRDefault="007043C7" w:rsidP="00197AE7">
            <w:pPr>
              <w:pStyle w:val="NormalNoSpace"/>
              <w:jc w:val="center"/>
              <w:rPr>
                <w:caps w:val="0"/>
              </w:rPr>
            </w:pPr>
          </w:p>
        </w:tc>
      </w:tr>
    </w:tbl>
    <w:p w14:paraId="6000BAF5"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755B4FF4" w14:textId="77777777" w:rsidTr="006D7841">
        <w:trPr>
          <w:trHeight w:hRule="exact" w:val="2381"/>
        </w:trPr>
        <w:tc>
          <w:tcPr>
            <w:tcW w:w="1133" w:type="dxa"/>
          </w:tcPr>
          <w:p w14:paraId="171136DA" w14:textId="77777777" w:rsidR="00010133" w:rsidRDefault="00010133" w:rsidP="006D7841"/>
        </w:tc>
        <w:tc>
          <w:tcPr>
            <w:tcW w:w="9635" w:type="dxa"/>
          </w:tcPr>
          <w:p w14:paraId="0A72079D" w14:textId="77777777" w:rsidR="00010133" w:rsidRDefault="00010133" w:rsidP="006D7841"/>
        </w:tc>
        <w:tc>
          <w:tcPr>
            <w:tcW w:w="1134" w:type="dxa"/>
          </w:tcPr>
          <w:p w14:paraId="539AD146" w14:textId="77777777" w:rsidR="00010133" w:rsidRDefault="00010133" w:rsidP="006D7841"/>
        </w:tc>
      </w:tr>
      <w:tr w:rsidR="00010133" w:rsidRPr="0003530F" w14:paraId="109E61C7" w14:textId="77777777" w:rsidTr="006D7841">
        <w:trPr>
          <w:trHeight w:hRule="exact" w:val="3402"/>
        </w:trPr>
        <w:tc>
          <w:tcPr>
            <w:tcW w:w="1133" w:type="dxa"/>
            <w:vAlign w:val="center"/>
          </w:tcPr>
          <w:p w14:paraId="4B174890"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03530F" w14:paraId="31FEDF60" w14:textId="77777777" w:rsidTr="00CE665B">
              <w:trPr>
                <w:jc w:val="center"/>
              </w:trPr>
              <w:tc>
                <w:tcPr>
                  <w:tcW w:w="0" w:type="auto"/>
                  <w:vAlign w:val="center"/>
                </w:tcPr>
                <w:p w14:paraId="57479F24" w14:textId="62C243B3" w:rsidR="00010133" w:rsidRPr="007C7F1E" w:rsidRDefault="006C32D0" w:rsidP="007C7F1E">
                  <w:pPr>
                    <w:pStyle w:val="CoverPageTitle"/>
                    <w:framePr w:wrap="around" w:vAnchor="page" w:hAnchor="page" w:y="5127"/>
                    <w:suppressOverlap/>
                    <w:rPr>
                      <w:bCs w:val="0"/>
                      <w:color w:val="auto"/>
                      <w:sz w:val="48"/>
                      <w:szCs w:val="48"/>
                      <w:lang w:val="fr-FR"/>
                    </w:rPr>
                  </w:pPr>
                  <w:r w:rsidRPr="007C7F1E">
                    <w:rPr>
                      <w:bCs w:val="0"/>
                      <w:color w:val="auto"/>
                      <w:sz w:val="48"/>
                      <w:szCs w:val="48"/>
                      <w:lang w:val="fr"/>
                    </w:rPr>
                    <w:t>Directives sur les audits annuels des subventions du Fonds mondial</w:t>
                  </w:r>
                </w:p>
                <w:p w14:paraId="71B11851" w14:textId="0DA701AD" w:rsidR="006C32D0" w:rsidRPr="007C7F1E" w:rsidRDefault="00BE6596" w:rsidP="007C7F1E">
                  <w:pPr>
                    <w:pStyle w:val="CoverPageTitle"/>
                    <w:framePr w:wrap="around" w:vAnchor="page" w:hAnchor="page" w:y="5127"/>
                    <w:suppressOverlap/>
                    <w:rPr>
                      <w:b/>
                      <w:bCs w:val="0"/>
                      <w:color w:val="auto"/>
                      <w:sz w:val="48"/>
                      <w:szCs w:val="48"/>
                      <w:lang w:val="fr-FR"/>
                    </w:rPr>
                  </w:pPr>
                  <w:r w:rsidRPr="007C7F1E">
                    <w:rPr>
                      <w:b/>
                      <w:color w:val="auto"/>
                      <w:sz w:val="48"/>
                      <w:szCs w:val="48"/>
                      <w:lang w:val="fr"/>
                    </w:rPr>
                    <w:t xml:space="preserve">Termes </w:t>
                  </w:r>
                  <w:r w:rsidR="00C86D6F" w:rsidRPr="007C7F1E">
                    <w:rPr>
                      <w:b/>
                      <w:color w:val="auto"/>
                      <w:sz w:val="48"/>
                      <w:szCs w:val="48"/>
                      <w:lang w:val="fr"/>
                    </w:rPr>
                    <w:t xml:space="preserve">de référence pour </w:t>
                  </w:r>
                  <w:bookmarkStart w:id="0" w:name="_Hlk27402954"/>
                  <w:r w:rsidR="00C86D6F" w:rsidRPr="007C7F1E">
                    <w:rPr>
                      <w:b/>
                      <w:color w:val="auto"/>
                      <w:sz w:val="48"/>
                      <w:szCs w:val="48"/>
                      <w:lang w:val="fr"/>
                    </w:rPr>
                    <w:t>l’audit des états financiers des subventions à des fins spéciales</w:t>
                  </w:r>
                  <w:bookmarkEnd w:id="0"/>
                </w:p>
              </w:tc>
            </w:tr>
          </w:tbl>
          <w:p w14:paraId="19CC3AC5" w14:textId="77777777" w:rsidR="00010133" w:rsidRPr="0003530F" w:rsidRDefault="00010133" w:rsidP="006D7841">
            <w:pPr>
              <w:rPr>
                <w:lang w:val="fr-FR"/>
              </w:rPr>
            </w:pPr>
          </w:p>
        </w:tc>
        <w:tc>
          <w:tcPr>
            <w:tcW w:w="1134" w:type="dxa"/>
            <w:vAlign w:val="center"/>
          </w:tcPr>
          <w:p w14:paraId="4AF769B0" w14:textId="77777777" w:rsidR="00010133" w:rsidRPr="0003530F" w:rsidRDefault="00010133" w:rsidP="006D7841">
            <w:pPr>
              <w:rPr>
                <w:lang w:val="fr-FR"/>
              </w:rPr>
            </w:pPr>
          </w:p>
        </w:tc>
      </w:tr>
    </w:tbl>
    <w:p w14:paraId="2719C4CB" w14:textId="77777777" w:rsidR="009A28E5" w:rsidRPr="0003530F" w:rsidRDefault="009A28E5" w:rsidP="009A28E5">
      <w:pPr>
        <w:rPr>
          <w:lang w:val="fr-FR"/>
        </w:rPr>
      </w:pPr>
    </w:p>
    <w:p w14:paraId="229F6DC0" w14:textId="77777777" w:rsidR="005659E0" w:rsidRPr="0003530F" w:rsidRDefault="00C86D6F" w:rsidP="0075707F">
      <w:pPr>
        <w:pStyle w:val="CoverPageDate"/>
        <w:rPr>
          <w:lang w:val="fr-FR"/>
        </w:rPr>
      </w:pPr>
      <w:r>
        <w:rPr>
          <w:bCs/>
          <w:lang w:val="fr"/>
        </w:rPr>
        <w:t xml:space="preserve">Novembre 2019          </w:t>
      </w:r>
      <w:sdt>
        <w:sdtPr>
          <w:alias w:val="Form.ReportLocation"/>
          <w:tag w:val="{&quot;templafy&quot;:{&quot;id&quot;:&quot;ef9519b1-eb2f-4d35-a9ba-77480383d51d&quot;}}"/>
          <w:id w:val="-465742158"/>
          <w:lock w:val="contentLocked"/>
          <w:placeholder>
            <w:docPart w:val="EE96421251444573B6897316BD48B66F"/>
          </w:placeholder>
        </w:sdtPr>
        <w:sdtEndPr/>
        <w:sdtContent>
          <w:r>
            <w:rPr>
              <w:bCs/>
              <w:lang w:val="fr"/>
            </w:rPr>
            <w:t>Genève</w:t>
          </w:r>
        </w:sdtContent>
      </w:sdt>
      <w:r>
        <w:rPr>
          <w:bCs/>
          <w:lang w:val="fr"/>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Pr>
              <w:bCs/>
              <w:lang w:val="fr"/>
            </w:rPr>
            <w:t>Suisse</w:t>
          </w:r>
        </w:sdtContent>
      </w:sdt>
    </w:p>
    <w:p w14:paraId="0519B1F0" w14:textId="77777777" w:rsidR="00A77789" w:rsidRPr="0003530F" w:rsidRDefault="00A77789" w:rsidP="0075707F">
      <w:pPr>
        <w:pStyle w:val="CoverPageDate"/>
        <w:rPr>
          <w:lang w:val="fr-FR"/>
        </w:rPr>
      </w:pPr>
    </w:p>
    <w:p w14:paraId="0A398C5F" w14:textId="77777777" w:rsidR="00813D40" w:rsidRPr="0003530F" w:rsidRDefault="00813D40" w:rsidP="00A30A41">
      <w:pPr>
        <w:pStyle w:val="CoverPageDate"/>
        <w:ind w:left="2880" w:firstLine="720"/>
        <w:jc w:val="left"/>
        <w:rPr>
          <w:lang w:val="fr-FR"/>
        </w:rPr>
        <w:sectPr w:rsidR="00813D40" w:rsidRPr="0003530F" w:rsidSect="004B567E">
          <w:headerReference w:type="even" r:id="rId8"/>
          <w:headerReference w:type="default" r:id="rId9"/>
          <w:footerReference w:type="even" r:id="rId10"/>
          <w:footerReference w:type="default" r:id="rId11"/>
          <w:headerReference w:type="first" r:id="rId12"/>
          <w:footerReference w:type="first" r:id="rId13"/>
          <w:endnotePr>
            <w:numFmt w:val="chicago"/>
          </w:endnotePr>
          <w:pgSz w:w="11906" w:h="16838" w:code="9"/>
          <w:pgMar w:top="851" w:right="1134" w:bottom="1559" w:left="1134" w:header="851" w:footer="851" w:gutter="0"/>
          <w:cols w:space="708"/>
          <w:docGrid w:linePitch="360"/>
        </w:sectPr>
      </w:pPr>
      <w:r>
        <w:rPr>
          <w:bCs/>
          <w:lang w:val="fr"/>
        </w:rPr>
        <w:t>Mise à jour : avril 2022</w:t>
      </w:r>
    </w:p>
    <w:p w14:paraId="59421599" w14:textId="391F695C" w:rsidR="00C24A3B" w:rsidRPr="0003530F" w:rsidRDefault="00C24A3B" w:rsidP="0075707F">
      <w:pPr>
        <w:pStyle w:val="CoverPageDate"/>
        <w:rPr>
          <w:lang w:val="fr-FR"/>
        </w:rPr>
        <w:sectPr w:rsidR="00C24A3B" w:rsidRPr="0003530F" w:rsidSect="004B567E">
          <w:headerReference w:type="even" r:id="rId14"/>
          <w:headerReference w:type="default" r:id="rId15"/>
          <w:footerReference w:type="even" r:id="rId16"/>
          <w:footerReference w:type="default" r:id="rId17"/>
          <w:headerReference w:type="first" r:id="rId18"/>
          <w:footerReference w:type="first" r:id="rId19"/>
          <w:endnotePr>
            <w:numFmt w:val="chicago"/>
          </w:endnotePr>
          <w:pgSz w:w="11906" w:h="16838" w:code="9"/>
          <w:pgMar w:top="851" w:right="1134" w:bottom="1559" w:left="1134" w:header="851" w:footer="851" w:gutter="0"/>
          <w:cols w:space="708"/>
          <w:docGrid w:linePitch="360"/>
        </w:sectPr>
      </w:pPr>
    </w:p>
    <w:p w14:paraId="574366EC" w14:textId="77777777" w:rsidR="00C86D6F" w:rsidRPr="0003530F" w:rsidRDefault="00C86D6F" w:rsidP="00C86D6F">
      <w:pPr>
        <w:spacing w:before="0" w:after="0" w:line="500" w:lineRule="exact"/>
        <w:jc w:val="both"/>
        <w:rPr>
          <w:rFonts w:eastAsia="MS Gothic" w:cs="Arial"/>
          <w:bCs/>
          <w:color w:val="7F7F7F"/>
          <w:sz w:val="48"/>
          <w:szCs w:val="28"/>
          <w:lang w:val="fr-FR"/>
        </w:rPr>
      </w:pPr>
    </w:p>
    <w:sdt>
      <w:sdtPr>
        <w:rPr>
          <w:rFonts w:eastAsia="MS Mincho" w:cs="Arial"/>
        </w:rPr>
        <w:id w:val="-1640105477"/>
        <w:docPartObj>
          <w:docPartGallery w:val="Table of Contents"/>
          <w:docPartUnique/>
        </w:docPartObj>
      </w:sdtPr>
      <w:sdtEndPr>
        <w:rPr>
          <w:b/>
          <w:bCs/>
          <w:noProof/>
          <w:szCs w:val="24"/>
        </w:rPr>
      </w:sdtEndPr>
      <w:sdtContent>
        <w:p w14:paraId="4FD04B7E" w14:textId="77777777" w:rsidR="00C86D6F" w:rsidRPr="004B0F08" w:rsidRDefault="00C86D6F" w:rsidP="00C86D6F">
          <w:pPr>
            <w:keepNext/>
            <w:keepLines/>
            <w:spacing w:before="0" w:after="0" w:line="240" w:lineRule="auto"/>
            <w:jc w:val="both"/>
            <w:rPr>
              <w:rFonts w:eastAsia="MS Gothic" w:cs="Arial"/>
            </w:rPr>
          </w:pPr>
          <w:r>
            <w:rPr>
              <w:rFonts w:eastAsia="MS Gothic" w:cs="Arial"/>
              <w:lang w:val="fr"/>
            </w:rPr>
            <w:t>Table des matières</w:t>
          </w:r>
        </w:p>
        <w:p w14:paraId="04ECFFDD" w14:textId="77777777" w:rsidR="00C86D6F" w:rsidRPr="004B0F08" w:rsidRDefault="00C86D6F" w:rsidP="00C86D6F">
          <w:pPr>
            <w:spacing w:before="0" w:line="240" w:lineRule="auto"/>
            <w:jc w:val="both"/>
            <w:rPr>
              <w:rFonts w:eastAsia="MS Mincho" w:cs="Arial"/>
            </w:rPr>
          </w:pPr>
        </w:p>
        <w:p w14:paraId="2FFE3110" w14:textId="26EABD0A" w:rsidR="007C7F1E" w:rsidRDefault="00C86D6F">
          <w:pPr>
            <w:pStyle w:val="TOC1"/>
            <w:tabs>
              <w:tab w:val="left" w:pos="440"/>
              <w:tab w:val="right" w:leader="dot" w:pos="9622"/>
            </w:tabs>
            <w:rPr>
              <w:rFonts w:eastAsiaTheme="minorEastAsia" w:cstheme="minorBidi"/>
              <w:b w:val="0"/>
              <w:bCs w:val="0"/>
              <w:caps w:val="0"/>
              <w:noProof/>
              <w:sz w:val="22"/>
              <w:szCs w:val="22"/>
            </w:rPr>
          </w:pPr>
          <w:r>
            <w:rPr>
              <w:rFonts w:eastAsia="MS Mincho"/>
              <w:caps w:val="0"/>
              <w:lang w:val="fr"/>
            </w:rPr>
            <w:fldChar w:fldCharType="begin"/>
          </w:r>
          <w:r>
            <w:rPr>
              <w:rFonts w:eastAsia="MS Mincho"/>
              <w:caps w:val="0"/>
            </w:rPr>
            <w:instrText xml:space="preserve"> TOC \o "1-3" \h \z \u </w:instrText>
          </w:r>
          <w:r>
            <w:rPr>
              <w:rFonts w:eastAsia="MS Mincho"/>
              <w:caps w:val="0"/>
            </w:rPr>
            <w:fldChar w:fldCharType="separate"/>
          </w:r>
          <w:hyperlink w:anchor="_Toc103940818" w:history="1">
            <w:r w:rsidR="007C7F1E" w:rsidRPr="00AE3513">
              <w:rPr>
                <w:rStyle w:val="Hyperlink"/>
                <w:rFonts w:asciiTheme="majorHAnsi" w:eastAsia="MS Gothic" w:hAnsiTheme="majorHAnsi" w:cstheme="majorHAnsi"/>
                <w:noProof/>
                <w:lang w:val="fr-FR"/>
              </w:rPr>
              <w:t>1.</w:t>
            </w:r>
            <w:r w:rsidR="007C7F1E">
              <w:rPr>
                <w:rFonts w:eastAsiaTheme="minorEastAsia" w:cstheme="minorBidi"/>
                <w:b w:val="0"/>
                <w:bCs w:val="0"/>
                <w:caps w:val="0"/>
                <w:noProof/>
                <w:sz w:val="22"/>
                <w:szCs w:val="22"/>
              </w:rPr>
              <w:tab/>
            </w:r>
            <w:r w:rsidR="007C7F1E" w:rsidRPr="00AE3513">
              <w:rPr>
                <w:rStyle w:val="Hyperlink"/>
                <w:rFonts w:asciiTheme="majorHAnsi" w:eastAsia="MS Gothic" w:hAnsiTheme="majorHAnsi" w:cstheme="majorHAnsi"/>
                <w:noProof/>
                <w:lang w:val="fr"/>
              </w:rPr>
              <w:t>Contexte des programmes, structure d’audit et description des entités</w:t>
            </w:r>
            <w:r w:rsidR="007C7F1E">
              <w:rPr>
                <w:noProof/>
                <w:webHidden/>
              </w:rPr>
              <w:tab/>
            </w:r>
            <w:r w:rsidR="007C7F1E">
              <w:rPr>
                <w:noProof/>
                <w:webHidden/>
              </w:rPr>
              <w:fldChar w:fldCharType="begin"/>
            </w:r>
            <w:r w:rsidR="007C7F1E">
              <w:rPr>
                <w:noProof/>
                <w:webHidden/>
              </w:rPr>
              <w:instrText xml:space="preserve"> PAGEREF _Toc103940818 \h </w:instrText>
            </w:r>
            <w:r w:rsidR="007C7F1E">
              <w:rPr>
                <w:noProof/>
                <w:webHidden/>
              </w:rPr>
            </w:r>
            <w:r w:rsidR="007C7F1E">
              <w:rPr>
                <w:noProof/>
                <w:webHidden/>
              </w:rPr>
              <w:fldChar w:fldCharType="separate"/>
            </w:r>
            <w:r w:rsidR="007C7F1E">
              <w:rPr>
                <w:noProof/>
                <w:webHidden/>
              </w:rPr>
              <w:t>4</w:t>
            </w:r>
            <w:r w:rsidR="007C7F1E">
              <w:rPr>
                <w:noProof/>
                <w:webHidden/>
              </w:rPr>
              <w:fldChar w:fldCharType="end"/>
            </w:r>
          </w:hyperlink>
        </w:p>
        <w:p w14:paraId="45AD0AC7" w14:textId="289A26FC" w:rsidR="007C7F1E" w:rsidRDefault="007C7F1E">
          <w:pPr>
            <w:pStyle w:val="TOC1"/>
            <w:tabs>
              <w:tab w:val="left" w:pos="660"/>
              <w:tab w:val="right" w:leader="dot" w:pos="9622"/>
            </w:tabs>
            <w:rPr>
              <w:rFonts w:eastAsiaTheme="minorEastAsia" w:cstheme="minorBidi"/>
              <w:b w:val="0"/>
              <w:bCs w:val="0"/>
              <w:caps w:val="0"/>
              <w:noProof/>
              <w:sz w:val="22"/>
              <w:szCs w:val="22"/>
            </w:rPr>
          </w:pPr>
          <w:hyperlink w:anchor="_Toc103940819" w:history="1">
            <w:r w:rsidRPr="00AE3513">
              <w:rPr>
                <w:rStyle w:val="Hyperlink"/>
                <w:rFonts w:asciiTheme="majorHAnsi" w:eastAsia="MS Gothic" w:hAnsiTheme="majorHAnsi" w:cstheme="majorHAnsi"/>
                <w:noProof/>
                <w:lang w:val="fr-FR"/>
              </w:rPr>
              <w:t>1.1</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Contexte du programme : [à remplir par le récipiendaire principal]</w:t>
            </w:r>
            <w:r>
              <w:rPr>
                <w:noProof/>
                <w:webHidden/>
              </w:rPr>
              <w:tab/>
            </w:r>
            <w:r>
              <w:rPr>
                <w:noProof/>
                <w:webHidden/>
              </w:rPr>
              <w:fldChar w:fldCharType="begin"/>
            </w:r>
            <w:r>
              <w:rPr>
                <w:noProof/>
                <w:webHidden/>
              </w:rPr>
              <w:instrText xml:space="preserve"> PAGEREF _Toc103940819 \h </w:instrText>
            </w:r>
            <w:r>
              <w:rPr>
                <w:noProof/>
                <w:webHidden/>
              </w:rPr>
            </w:r>
            <w:r>
              <w:rPr>
                <w:noProof/>
                <w:webHidden/>
              </w:rPr>
              <w:fldChar w:fldCharType="separate"/>
            </w:r>
            <w:r>
              <w:rPr>
                <w:noProof/>
                <w:webHidden/>
              </w:rPr>
              <w:t>4</w:t>
            </w:r>
            <w:r>
              <w:rPr>
                <w:noProof/>
                <w:webHidden/>
              </w:rPr>
              <w:fldChar w:fldCharType="end"/>
            </w:r>
          </w:hyperlink>
        </w:p>
        <w:p w14:paraId="1A835793" w14:textId="4B4F5D1D" w:rsidR="007C7F1E" w:rsidRDefault="007C7F1E">
          <w:pPr>
            <w:pStyle w:val="TOC1"/>
            <w:tabs>
              <w:tab w:val="left" w:pos="660"/>
              <w:tab w:val="right" w:leader="dot" w:pos="9622"/>
            </w:tabs>
            <w:rPr>
              <w:rFonts w:eastAsiaTheme="minorEastAsia" w:cstheme="minorBidi"/>
              <w:b w:val="0"/>
              <w:bCs w:val="0"/>
              <w:caps w:val="0"/>
              <w:noProof/>
              <w:sz w:val="22"/>
              <w:szCs w:val="22"/>
            </w:rPr>
          </w:pPr>
          <w:hyperlink w:anchor="_Toc103940820" w:history="1">
            <w:r w:rsidRPr="00AE3513">
              <w:rPr>
                <w:rStyle w:val="Hyperlink"/>
                <w:rFonts w:asciiTheme="majorHAnsi" w:eastAsia="MS Gothic" w:hAnsiTheme="majorHAnsi" w:cstheme="majorHAnsi"/>
                <w:noProof/>
                <w:lang w:val="fr-FR"/>
              </w:rPr>
              <w:t>1.2</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Entités concernées et démarche d’audit : [à remplir par le récipiendaire principal]</w:t>
            </w:r>
            <w:r>
              <w:rPr>
                <w:noProof/>
                <w:webHidden/>
              </w:rPr>
              <w:tab/>
            </w:r>
            <w:r>
              <w:rPr>
                <w:noProof/>
                <w:webHidden/>
              </w:rPr>
              <w:fldChar w:fldCharType="begin"/>
            </w:r>
            <w:r>
              <w:rPr>
                <w:noProof/>
                <w:webHidden/>
              </w:rPr>
              <w:instrText xml:space="preserve"> PAGEREF _Toc103940820 \h </w:instrText>
            </w:r>
            <w:r>
              <w:rPr>
                <w:noProof/>
                <w:webHidden/>
              </w:rPr>
            </w:r>
            <w:r>
              <w:rPr>
                <w:noProof/>
                <w:webHidden/>
              </w:rPr>
              <w:fldChar w:fldCharType="separate"/>
            </w:r>
            <w:r>
              <w:rPr>
                <w:noProof/>
                <w:webHidden/>
              </w:rPr>
              <w:t>4</w:t>
            </w:r>
            <w:r>
              <w:rPr>
                <w:noProof/>
                <w:webHidden/>
              </w:rPr>
              <w:fldChar w:fldCharType="end"/>
            </w:r>
          </w:hyperlink>
        </w:p>
        <w:p w14:paraId="3BC36FBB" w14:textId="57D8F379"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1" w:history="1">
            <w:r w:rsidRPr="00AE3513">
              <w:rPr>
                <w:rStyle w:val="Hyperlink"/>
                <w:rFonts w:asciiTheme="majorHAnsi" w:eastAsia="MS Gothic" w:hAnsiTheme="majorHAnsi" w:cstheme="majorHAnsi"/>
                <w:noProof/>
                <w:lang w:val="fr-FR"/>
              </w:rPr>
              <w:t>2.</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Contacts [à communiquer à l’auditeur de façon confidentielle] :</w:t>
            </w:r>
            <w:r>
              <w:rPr>
                <w:noProof/>
                <w:webHidden/>
              </w:rPr>
              <w:tab/>
            </w:r>
            <w:r>
              <w:rPr>
                <w:noProof/>
                <w:webHidden/>
              </w:rPr>
              <w:fldChar w:fldCharType="begin"/>
            </w:r>
            <w:r>
              <w:rPr>
                <w:noProof/>
                <w:webHidden/>
              </w:rPr>
              <w:instrText xml:space="preserve"> PAGEREF _Toc103940821 \h </w:instrText>
            </w:r>
            <w:r>
              <w:rPr>
                <w:noProof/>
                <w:webHidden/>
              </w:rPr>
            </w:r>
            <w:r>
              <w:rPr>
                <w:noProof/>
                <w:webHidden/>
              </w:rPr>
              <w:fldChar w:fldCharType="separate"/>
            </w:r>
            <w:r>
              <w:rPr>
                <w:noProof/>
                <w:webHidden/>
              </w:rPr>
              <w:t>4</w:t>
            </w:r>
            <w:r>
              <w:rPr>
                <w:noProof/>
                <w:webHidden/>
              </w:rPr>
              <w:fldChar w:fldCharType="end"/>
            </w:r>
          </w:hyperlink>
        </w:p>
        <w:p w14:paraId="53A21DCB" w14:textId="7E2D7D20"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2" w:history="1">
            <w:r w:rsidRPr="00AE3513">
              <w:rPr>
                <w:rStyle w:val="Hyperlink"/>
                <w:rFonts w:asciiTheme="majorHAnsi" w:eastAsia="MS Gothic" w:hAnsiTheme="majorHAnsi" w:cstheme="majorHAnsi"/>
                <w:noProof/>
              </w:rPr>
              <w:t>3.</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Objectifs de l’audit</w:t>
            </w:r>
            <w:r>
              <w:rPr>
                <w:noProof/>
                <w:webHidden/>
              </w:rPr>
              <w:tab/>
            </w:r>
            <w:r>
              <w:rPr>
                <w:noProof/>
                <w:webHidden/>
              </w:rPr>
              <w:fldChar w:fldCharType="begin"/>
            </w:r>
            <w:r>
              <w:rPr>
                <w:noProof/>
                <w:webHidden/>
              </w:rPr>
              <w:instrText xml:space="preserve"> PAGEREF _Toc103940822 \h </w:instrText>
            </w:r>
            <w:r>
              <w:rPr>
                <w:noProof/>
                <w:webHidden/>
              </w:rPr>
            </w:r>
            <w:r>
              <w:rPr>
                <w:noProof/>
                <w:webHidden/>
              </w:rPr>
              <w:fldChar w:fldCharType="separate"/>
            </w:r>
            <w:r>
              <w:rPr>
                <w:noProof/>
                <w:webHidden/>
              </w:rPr>
              <w:t>4</w:t>
            </w:r>
            <w:r>
              <w:rPr>
                <w:noProof/>
                <w:webHidden/>
              </w:rPr>
              <w:fldChar w:fldCharType="end"/>
            </w:r>
          </w:hyperlink>
        </w:p>
        <w:p w14:paraId="0D5DCBD1" w14:textId="61339129"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3" w:history="1">
            <w:r w:rsidRPr="00AE3513">
              <w:rPr>
                <w:rStyle w:val="Hyperlink"/>
                <w:rFonts w:asciiTheme="majorHAnsi" w:eastAsia="MS Gothic" w:hAnsiTheme="majorHAnsi" w:cstheme="majorHAnsi"/>
                <w:noProof/>
                <w:lang w:val="fr-FR"/>
              </w:rPr>
              <w:t>4.</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Responsabilité de la préparation des états financiers des subventions à des fins spéciales.</w:t>
            </w:r>
            <w:r>
              <w:rPr>
                <w:noProof/>
                <w:webHidden/>
              </w:rPr>
              <w:tab/>
            </w:r>
            <w:r>
              <w:rPr>
                <w:noProof/>
                <w:webHidden/>
              </w:rPr>
              <w:fldChar w:fldCharType="begin"/>
            </w:r>
            <w:r>
              <w:rPr>
                <w:noProof/>
                <w:webHidden/>
              </w:rPr>
              <w:instrText xml:space="preserve"> PAGEREF _Toc103940823 \h </w:instrText>
            </w:r>
            <w:r>
              <w:rPr>
                <w:noProof/>
                <w:webHidden/>
              </w:rPr>
            </w:r>
            <w:r>
              <w:rPr>
                <w:noProof/>
                <w:webHidden/>
              </w:rPr>
              <w:fldChar w:fldCharType="separate"/>
            </w:r>
            <w:r>
              <w:rPr>
                <w:noProof/>
                <w:webHidden/>
              </w:rPr>
              <w:t>5</w:t>
            </w:r>
            <w:r>
              <w:rPr>
                <w:noProof/>
                <w:webHidden/>
              </w:rPr>
              <w:fldChar w:fldCharType="end"/>
            </w:r>
          </w:hyperlink>
        </w:p>
        <w:p w14:paraId="6260C6F3" w14:textId="260060D5"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4" w:history="1">
            <w:r w:rsidRPr="00AE3513">
              <w:rPr>
                <w:rStyle w:val="Hyperlink"/>
                <w:rFonts w:asciiTheme="majorHAnsi" w:eastAsia="MS Gothic" w:hAnsiTheme="majorHAnsi" w:cstheme="majorHAnsi"/>
                <w:noProof/>
                <w:lang w:val="fr-FR"/>
              </w:rPr>
              <w:t>5.</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États financiers des subventions à des fins spéciales.</w:t>
            </w:r>
            <w:r>
              <w:rPr>
                <w:noProof/>
                <w:webHidden/>
              </w:rPr>
              <w:tab/>
            </w:r>
            <w:r>
              <w:rPr>
                <w:noProof/>
                <w:webHidden/>
              </w:rPr>
              <w:fldChar w:fldCharType="begin"/>
            </w:r>
            <w:r>
              <w:rPr>
                <w:noProof/>
                <w:webHidden/>
              </w:rPr>
              <w:instrText xml:space="preserve"> PAGEREF _Toc103940824 \h </w:instrText>
            </w:r>
            <w:r>
              <w:rPr>
                <w:noProof/>
                <w:webHidden/>
              </w:rPr>
            </w:r>
            <w:r>
              <w:rPr>
                <w:noProof/>
                <w:webHidden/>
              </w:rPr>
              <w:fldChar w:fldCharType="separate"/>
            </w:r>
            <w:r>
              <w:rPr>
                <w:noProof/>
                <w:webHidden/>
              </w:rPr>
              <w:t>5</w:t>
            </w:r>
            <w:r>
              <w:rPr>
                <w:noProof/>
                <w:webHidden/>
              </w:rPr>
              <w:fldChar w:fldCharType="end"/>
            </w:r>
          </w:hyperlink>
        </w:p>
        <w:p w14:paraId="35BD30B2" w14:textId="205684BB"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5" w:history="1">
            <w:r w:rsidRPr="00AE3513">
              <w:rPr>
                <w:rStyle w:val="Hyperlink"/>
                <w:rFonts w:asciiTheme="majorHAnsi" w:eastAsia="MS Gothic" w:hAnsiTheme="majorHAnsi" w:cstheme="majorHAnsi"/>
                <w:noProof/>
                <w:lang w:val="fr-FR"/>
              </w:rPr>
              <w:t>6.</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Mise à disposition des documents et des installations</w:t>
            </w:r>
            <w:r>
              <w:rPr>
                <w:noProof/>
                <w:webHidden/>
              </w:rPr>
              <w:tab/>
            </w:r>
            <w:r>
              <w:rPr>
                <w:noProof/>
                <w:webHidden/>
              </w:rPr>
              <w:fldChar w:fldCharType="begin"/>
            </w:r>
            <w:r>
              <w:rPr>
                <w:noProof/>
                <w:webHidden/>
              </w:rPr>
              <w:instrText xml:space="preserve"> PAGEREF _Toc103940825 \h </w:instrText>
            </w:r>
            <w:r>
              <w:rPr>
                <w:noProof/>
                <w:webHidden/>
              </w:rPr>
            </w:r>
            <w:r>
              <w:rPr>
                <w:noProof/>
                <w:webHidden/>
              </w:rPr>
              <w:fldChar w:fldCharType="separate"/>
            </w:r>
            <w:r>
              <w:rPr>
                <w:noProof/>
                <w:webHidden/>
              </w:rPr>
              <w:t>6</w:t>
            </w:r>
            <w:r>
              <w:rPr>
                <w:noProof/>
                <w:webHidden/>
              </w:rPr>
              <w:fldChar w:fldCharType="end"/>
            </w:r>
          </w:hyperlink>
        </w:p>
        <w:p w14:paraId="3601DD07" w14:textId="17545108"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6" w:history="1">
            <w:r w:rsidRPr="00AE3513">
              <w:rPr>
                <w:rStyle w:val="Hyperlink"/>
                <w:rFonts w:asciiTheme="majorHAnsi" w:eastAsia="MS Gothic" w:hAnsiTheme="majorHAnsi" w:cstheme="majorHAnsi"/>
                <w:noProof/>
              </w:rPr>
              <w:t>7.</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Portée de l’audit</w:t>
            </w:r>
            <w:r>
              <w:rPr>
                <w:noProof/>
                <w:webHidden/>
              </w:rPr>
              <w:tab/>
            </w:r>
            <w:r>
              <w:rPr>
                <w:noProof/>
                <w:webHidden/>
              </w:rPr>
              <w:fldChar w:fldCharType="begin"/>
            </w:r>
            <w:r>
              <w:rPr>
                <w:noProof/>
                <w:webHidden/>
              </w:rPr>
              <w:instrText xml:space="preserve"> PAGEREF _Toc103940826 \h </w:instrText>
            </w:r>
            <w:r>
              <w:rPr>
                <w:noProof/>
                <w:webHidden/>
              </w:rPr>
            </w:r>
            <w:r>
              <w:rPr>
                <w:noProof/>
                <w:webHidden/>
              </w:rPr>
              <w:fldChar w:fldCharType="separate"/>
            </w:r>
            <w:r>
              <w:rPr>
                <w:noProof/>
                <w:webHidden/>
              </w:rPr>
              <w:t>6</w:t>
            </w:r>
            <w:r>
              <w:rPr>
                <w:noProof/>
                <w:webHidden/>
              </w:rPr>
              <w:fldChar w:fldCharType="end"/>
            </w:r>
          </w:hyperlink>
        </w:p>
        <w:p w14:paraId="00893083" w14:textId="52A6497B"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27" w:history="1">
            <w:r w:rsidRPr="00AE3513">
              <w:rPr>
                <w:rStyle w:val="Hyperlink"/>
                <w:rFonts w:asciiTheme="majorHAnsi" w:eastAsia="MS Gothic" w:hAnsiTheme="majorHAnsi" w:cstheme="majorHAnsi"/>
                <w:noProof/>
              </w:rPr>
              <w:t>8.</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Procédures d’audit</w:t>
            </w:r>
            <w:r>
              <w:rPr>
                <w:noProof/>
                <w:webHidden/>
              </w:rPr>
              <w:tab/>
            </w:r>
            <w:r>
              <w:rPr>
                <w:noProof/>
                <w:webHidden/>
              </w:rPr>
              <w:fldChar w:fldCharType="begin"/>
            </w:r>
            <w:r>
              <w:rPr>
                <w:noProof/>
                <w:webHidden/>
              </w:rPr>
              <w:instrText xml:space="preserve"> PAGEREF _Toc103940827 \h </w:instrText>
            </w:r>
            <w:r>
              <w:rPr>
                <w:noProof/>
                <w:webHidden/>
              </w:rPr>
            </w:r>
            <w:r>
              <w:rPr>
                <w:noProof/>
                <w:webHidden/>
              </w:rPr>
              <w:fldChar w:fldCharType="separate"/>
            </w:r>
            <w:r>
              <w:rPr>
                <w:noProof/>
                <w:webHidden/>
              </w:rPr>
              <w:t>9</w:t>
            </w:r>
            <w:r>
              <w:rPr>
                <w:noProof/>
                <w:webHidden/>
              </w:rPr>
              <w:fldChar w:fldCharType="end"/>
            </w:r>
          </w:hyperlink>
        </w:p>
        <w:p w14:paraId="2A16B256" w14:textId="797C5955" w:rsidR="007C7F1E" w:rsidRDefault="007C7F1E">
          <w:pPr>
            <w:pStyle w:val="TOC1"/>
            <w:tabs>
              <w:tab w:val="left" w:pos="660"/>
              <w:tab w:val="right" w:leader="dot" w:pos="9622"/>
            </w:tabs>
            <w:rPr>
              <w:rFonts w:eastAsiaTheme="minorEastAsia" w:cstheme="minorBidi"/>
              <w:b w:val="0"/>
              <w:bCs w:val="0"/>
              <w:caps w:val="0"/>
              <w:noProof/>
              <w:sz w:val="22"/>
              <w:szCs w:val="22"/>
            </w:rPr>
          </w:pPr>
          <w:hyperlink w:anchor="_Toc103940828" w:history="1">
            <w:r w:rsidRPr="00AE3513">
              <w:rPr>
                <w:rStyle w:val="Hyperlink"/>
                <w:rFonts w:asciiTheme="majorHAnsi" w:eastAsia="MS Gothic" w:hAnsiTheme="majorHAnsi" w:cstheme="majorHAnsi"/>
                <w:noProof/>
              </w:rPr>
              <w:t>8.1</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Planification</w:t>
            </w:r>
            <w:r>
              <w:rPr>
                <w:noProof/>
                <w:webHidden/>
              </w:rPr>
              <w:tab/>
            </w:r>
            <w:r>
              <w:rPr>
                <w:noProof/>
                <w:webHidden/>
              </w:rPr>
              <w:fldChar w:fldCharType="begin"/>
            </w:r>
            <w:r>
              <w:rPr>
                <w:noProof/>
                <w:webHidden/>
              </w:rPr>
              <w:instrText xml:space="preserve"> PAGEREF _Toc103940828 \h </w:instrText>
            </w:r>
            <w:r>
              <w:rPr>
                <w:noProof/>
                <w:webHidden/>
              </w:rPr>
            </w:r>
            <w:r>
              <w:rPr>
                <w:noProof/>
                <w:webHidden/>
              </w:rPr>
              <w:fldChar w:fldCharType="separate"/>
            </w:r>
            <w:r>
              <w:rPr>
                <w:noProof/>
                <w:webHidden/>
              </w:rPr>
              <w:t>9</w:t>
            </w:r>
            <w:r>
              <w:rPr>
                <w:noProof/>
                <w:webHidden/>
              </w:rPr>
              <w:fldChar w:fldCharType="end"/>
            </w:r>
          </w:hyperlink>
        </w:p>
        <w:p w14:paraId="43C44F2E" w14:textId="4BD71121"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29" w:history="1">
            <w:r w:rsidRPr="00AE3513">
              <w:rPr>
                <w:rStyle w:val="Hyperlink"/>
                <w:rFonts w:asciiTheme="majorHAnsi" w:eastAsia="MS Gothic" w:hAnsiTheme="majorHAnsi" w:cstheme="majorHAnsi"/>
                <w:b/>
                <w:bCs/>
                <w:noProof/>
                <w:lang w:val="fr-FR"/>
              </w:rPr>
              <w:t>8.1.1</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Réunion de lancement avec le récipiendaire principal</w:t>
            </w:r>
            <w:r>
              <w:rPr>
                <w:noProof/>
                <w:webHidden/>
              </w:rPr>
              <w:tab/>
            </w:r>
            <w:r>
              <w:rPr>
                <w:noProof/>
                <w:webHidden/>
              </w:rPr>
              <w:fldChar w:fldCharType="begin"/>
            </w:r>
            <w:r>
              <w:rPr>
                <w:noProof/>
                <w:webHidden/>
              </w:rPr>
              <w:instrText xml:space="preserve"> PAGEREF _Toc103940829 \h </w:instrText>
            </w:r>
            <w:r>
              <w:rPr>
                <w:noProof/>
                <w:webHidden/>
              </w:rPr>
            </w:r>
            <w:r>
              <w:rPr>
                <w:noProof/>
                <w:webHidden/>
              </w:rPr>
              <w:fldChar w:fldCharType="separate"/>
            </w:r>
            <w:r>
              <w:rPr>
                <w:noProof/>
                <w:webHidden/>
              </w:rPr>
              <w:t>9</w:t>
            </w:r>
            <w:r>
              <w:rPr>
                <w:noProof/>
                <w:webHidden/>
              </w:rPr>
              <w:fldChar w:fldCharType="end"/>
            </w:r>
          </w:hyperlink>
        </w:p>
        <w:p w14:paraId="5D1E770E" w14:textId="02D83531"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0" w:history="1">
            <w:r w:rsidRPr="00AE3513">
              <w:rPr>
                <w:rStyle w:val="Hyperlink"/>
                <w:rFonts w:asciiTheme="majorHAnsi" w:eastAsia="MS Gothic" w:hAnsiTheme="majorHAnsi" w:cstheme="majorHAnsi"/>
                <w:b/>
                <w:bCs/>
                <w:noProof/>
                <w:lang w:val="fr-FR"/>
              </w:rPr>
              <w:t>8.1.2</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Activités de planification, plan d’audit et programmes de travail d’audit</w:t>
            </w:r>
            <w:r>
              <w:rPr>
                <w:noProof/>
                <w:webHidden/>
              </w:rPr>
              <w:tab/>
            </w:r>
            <w:r>
              <w:rPr>
                <w:noProof/>
                <w:webHidden/>
              </w:rPr>
              <w:fldChar w:fldCharType="begin"/>
            </w:r>
            <w:r>
              <w:rPr>
                <w:noProof/>
                <w:webHidden/>
              </w:rPr>
              <w:instrText xml:space="preserve"> PAGEREF _Toc103940830 \h </w:instrText>
            </w:r>
            <w:r>
              <w:rPr>
                <w:noProof/>
                <w:webHidden/>
              </w:rPr>
            </w:r>
            <w:r>
              <w:rPr>
                <w:noProof/>
                <w:webHidden/>
              </w:rPr>
              <w:fldChar w:fldCharType="separate"/>
            </w:r>
            <w:r>
              <w:rPr>
                <w:noProof/>
                <w:webHidden/>
              </w:rPr>
              <w:t>9</w:t>
            </w:r>
            <w:r>
              <w:rPr>
                <w:noProof/>
                <w:webHidden/>
              </w:rPr>
              <w:fldChar w:fldCharType="end"/>
            </w:r>
          </w:hyperlink>
        </w:p>
        <w:p w14:paraId="74CA466C" w14:textId="7A48D454" w:rsidR="007C7F1E" w:rsidRDefault="007C7F1E">
          <w:pPr>
            <w:pStyle w:val="TOC1"/>
            <w:tabs>
              <w:tab w:val="left" w:pos="660"/>
              <w:tab w:val="right" w:leader="dot" w:pos="9622"/>
            </w:tabs>
            <w:rPr>
              <w:rFonts w:eastAsiaTheme="minorEastAsia" w:cstheme="minorBidi"/>
              <w:b w:val="0"/>
              <w:bCs w:val="0"/>
              <w:caps w:val="0"/>
              <w:noProof/>
              <w:sz w:val="22"/>
              <w:szCs w:val="22"/>
            </w:rPr>
          </w:pPr>
          <w:hyperlink w:anchor="_Toc103940831" w:history="1">
            <w:r w:rsidRPr="00AE3513">
              <w:rPr>
                <w:rStyle w:val="Hyperlink"/>
                <w:rFonts w:asciiTheme="majorHAnsi" w:eastAsia="MS Gothic" w:hAnsiTheme="majorHAnsi" w:cstheme="majorHAnsi"/>
                <w:noProof/>
              </w:rPr>
              <w:t>8.2</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Seuil de Signification</w:t>
            </w:r>
            <w:r>
              <w:rPr>
                <w:noProof/>
                <w:webHidden/>
              </w:rPr>
              <w:tab/>
            </w:r>
            <w:r>
              <w:rPr>
                <w:noProof/>
                <w:webHidden/>
              </w:rPr>
              <w:fldChar w:fldCharType="begin"/>
            </w:r>
            <w:r>
              <w:rPr>
                <w:noProof/>
                <w:webHidden/>
              </w:rPr>
              <w:instrText xml:space="preserve"> PAGEREF _Toc103940831 \h </w:instrText>
            </w:r>
            <w:r>
              <w:rPr>
                <w:noProof/>
                <w:webHidden/>
              </w:rPr>
            </w:r>
            <w:r>
              <w:rPr>
                <w:noProof/>
                <w:webHidden/>
              </w:rPr>
              <w:fldChar w:fldCharType="separate"/>
            </w:r>
            <w:r>
              <w:rPr>
                <w:noProof/>
                <w:webHidden/>
              </w:rPr>
              <w:t>10</w:t>
            </w:r>
            <w:r>
              <w:rPr>
                <w:noProof/>
                <w:webHidden/>
              </w:rPr>
              <w:fldChar w:fldCharType="end"/>
            </w:r>
          </w:hyperlink>
        </w:p>
        <w:p w14:paraId="0EFCA47C" w14:textId="6D818328" w:rsidR="007C7F1E" w:rsidRDefault="007C7F1E">
          <w:pPr>
            <w:pStyle w:val="TOC1"/>
            <w:tabs>
              <w:tab w:val="left" w:pos="660"/>
              <w:tab w:val="right" w:leader="dot" w:pos="9622"/>
            </w:tabs>
            <w:rPr>
              <w:rFonts w:eastAsiaTheme="minorEastAsia" w:cstheme="minorBidi"/>
              <w:b w:val="0"/>
              <w:bCs w:val="0"/>
              <w:caps w:val="0"/>
              <w:noProof/>
              <w:sz w:val="22"/>
              <w:szCs w:val="22"/>
            </w:rPr>
          </w:pPr>
          <w:hyperlink w:anchor="_Toc103940832" w:history="1">
            <w:r w:rsidRPr="00AE3513">
              <w:rPr>
                <w:rStyle w:val="Hyperlink"/>
                <w:rFonts w:asciiTheme="majorHAnsi" w:eastAsia="MS Gothic" w:hAnsiTheme="majorHAnsi" w:cstheme="majorHAnsi"/>
                <w:noProof/>
                <w:lang w:val="fr-FR"/>
              </w:rPr>
              <w:t>8.3</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Travaux terrain</w:t>
            </w:r>
            <w:r>
              <w:rPr>
                <w:noProof/>
                <w:webHidden/>
              </w:rPr>
              <w:tab/>
            </w:r>
            <w:r>
              <w:rPr>
                <w:noProof/>
                <w:webHidden/>
              </w:rPr>
              <w:fldChar w:fldCharType="begin"/>
            </w:r>
            <w:r>
              <w:rPr>
                <w:noProof/>
                <w:webHidden/>
              </w:rPr>
              <w:instrText xml:space="preserve"> PAGEREF _Toc103940832 \h </w:instrText>
            </w:r>
            <w:r>
              <w:rPr>
                <w:noProof/>
                <w:webHidden/>
              </w:rPr>
            </w:r>
            <w:r>
              <w:rPr>
                <w:noProof/>
                <w:webHidden/>
              </w:rPr>
              <w:fldChar w:fldCharType="separate"/>
            </w:r>
            <w:r>
              <w:rPr>
                <w:noProof/>
                <w:webHidden/>
              </w:rPr>
              <w:t>10</w:t>
            </w:r>
            <w:r>
              <w:rPr>
                <w:noProof/>
                <w:webHidden/>
              </w:rPr>
              <w:fldChar w:fldCharType="end"/>
            </w:r>
          </w:hyperlink>
        </w:p>
        <w:p w14:paraId="0D3ED748" w14:textId="087098D4"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3" w:history="1">
            <w:r w:rsidRPr="00AE3513">
              <w:rPr>
                <w:rStyle w:val="Hyperlink"/>
                <w:rFonts w:asciiTheme="majorHAnsi" w:eastAsia="MS Gothic" w:hAnsiTheme="majorHAnsi" w:cstheme="majorHAnsi"/>
                <w:b/>
                <w:bCs/>
                <w:noProof/>
                <w:lang w:val="fr-FR"/>
              </w:rPr>
              <w:t>8.3.1</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Obtention d’éléments probants concernant la conception des contrôles et la réalisation de tests des contrôles</w:t>
            </w:r>
            <w:r>
              <w:rPr>
                <w:noProof/>
                <w:webHidden/>
              </w:rPr>
              <w:tab/>
            </w:r>
            <w:r>
              <w:rPr>
                <w:noProof/>
                <w:webHidden/>
              </w:rPr>
              <w:fldChar w:fldCharType="begin"/>
            </w:r>
            <w:r>
              <w:rPr>
                <w:noProof/>
                <w:webHidden/>
              </w:rPr>
              <w:instrText xml:space="preserve"> PAGEREF _Toc103940833 \h </w:instrText>
            </w:r>
            <w:r>
              <w:rPr>
                <w:noProof/>
                <w:webHidden/>
              </w:rPr>
            </w:r>
            <w:r>
              <w:rPr>
                <w:noProof/>
                <w:webHidden/>
              </w:rPr>
              <w:fldChar w:fldCharType="separate"/>
            </w:r>
            <w:r>
              <w:rPr>
                <w:noProof/>
                <w:webHidden/>
              </w:rPr>
              <w:t>10</w:t>
            </w:r>
            <w:r>
              <w:rPr>
                <w:noProof/>
                <w:webHidden/>
              </w:rPr>
              <w:fldChar w:fldCharType="end"/>
            </w:r>
          </w:hyperlink>
        </w:p>
        <w:p w14:paraId="3ED59B68" w14:textId="247D452D"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4" w:history="1">
            <w:r w:rsidRPr="00AE3513">
              <w:rPr>
                <w:rStyle w:val="Hyperlink"/>
                <w:rFonts w:asciiTheme="majorHAnsi" w:eastAsia="MS Gothic" w:hAnsiTheme="majorHAnsi" w:cstheme="majorHAnsi"/>
                <w:b/>
                <w:bCs/>
                <w:noProof/>
              </w:rPr>
              <w:t>8.3.2</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Procédures substantives</w:t>
            </w:r>
            <w:r>
              <w:rPr>
                <w:noProof/>
                <w:webHidden/>
              </w:rPr>
              <w:tab/>
            </w:r>
            <w:r>
              <w:rPr>
                <w:noProof/>
                <w:webHidden/>
              </w:rPr>
              <w:fldChar w:fldCharType="begin"/>
            </w:r>
            <w:r>
              <w:rPr>
                <w:noProof/>
                <w:webHidden/>
              </w:rPr>
              <w:instrText xml:space="preserve"> PAGEREF _Toc103940834 \h </w:instrText>
            </w:r>
            <w:r>
              <w:rPr>
                <w:noProof/>
                <w:webHidden/>
              </w:rPr>
            </w:r>
            <w:r>
              <w:rPr>
                <w:noProof/>
                <w:webHidden/>
              </w:rPr>
              <w:fldChar w:fldCharType="separate"/>
            </w:r>
            <w:r>
              <w:rPr>
                <w:noProof/>
                <w:webHidden/>
              </w:rPr>
              <w:t>10</w:t>
            </w:r>
            <w:r>
              <w:rPr>
                <w:noProof/>
                <w:webHidden/>
              </w:rPr>
              <w:fldChar w:fldCharType="end"/>
            </w:r>
          </w:hyperlink>
        </w:p>
        <w:p w14:paraId="23B7ABBE" w14:textId="7E78AEB0"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5" w:history="1">
            <w:r w:rsidRPr="00AE3513">
              <w:rPr>
                <w:rStyle w:val="Hyperlink"/>
                <w:rFonts w:asciiTheme="majorHAnsi" w:eastAsia="MS Gothic" w:hAnsiTheme="majorHAnsi" w:cstheme="majorHAnsi"/>
                <w:b/>
                <w:bCs/>
                <w:noProof/>
                <w:lang w:val="fr-FR"/>
              </w:rPr>
              <w:t>8.3.3</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Échantillonnage et autres moyens de sélection des éléments à tester</w:t>
            </w:r>
            <w:r>
              <w:rPr>
                <w:noProof/>
                <w:webHidden/>
              </w:rPr>
              <w:tab/>
            </w:r>
            <w:r>
              <w:rPr>
                <w:noProof/>
                <w:webHidden/>
              </w:rPr>
              <w:fldChar w:fldCharType="begin"/>
            </w:r>
            <w:r>
              <w:rPr>
                <w:noProof/>
                <w:webHidden/>
              </w:rPr>
              <w:instrText xml:space="preserve"> PAGEREF _Toc103940835 \h </w:instrText>
            </w:r>
            <w:r>
              <w:rPr>
                <w:noProof/>
                <w:webHidden/>
              </w:rPr>
            </w:r>
            <w:r>
              <w:rPr>
                <w:noProof/>
                <w:webHidden/>
              </w:rPr>
              <w:fldChar w:fldCharType="separate"/>
            </w:r>
            <w:r>
              <w:rPr>
                <w:noProof/>
                <w:webHidden/>
              </w:rPr>
              <w:t>11</w:t>
            </w:r>
            <w:r>
              <w:rPr>
                <w:noProof/>
                <w:webHidden/>
              </w:rPr>
              <w:fldChar w:fldCharType="end"/>
            </w:r>
          </w:hyperlink>
        </w:p>
        <w:p w14:paraId="58444C06" w14:textId="11061A47"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6" w:history="1">
            <w:r w:rsidRPr="00AE3513">
              <w:rPr>
                <w:rStyle w:val="Hyperlink"/>
                <w:rFonts w:asciiTheme="majorHAnsi" w:eastAsia="MS Gothic" w:hAnsiTheme="majorHAnsi" w:cstheme="majorHAnsi"/>
                <w:b/>
                <w:bCs/>
                <w:noProof/>
              </w:rPr>
              <w:t>8.3.4</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Procédures analytiques</w:t>
            </w:r>
            <w:r>
              <w:rPr>
                <w:noProof/>
                <w:webHidden/>
              </w:rPr>
              <w:tab/>
            </w:r>
            <w:r>
              <w:rPr>
                <w:noProof/>
                <w:webHidden/>
              </w:rPr>
              <w:fldChar w:fldCharType="begin"/>
            </w:r>
            <w:r>
              <w:rPr>
                <w:noProof/>
                <w:webHidden/>
              </w:rPr>
              <w:instrText xml:space="preserve"> PAGEREF _Toc103940836 \h </w:instrText>
            </w:r>
            <w:r>
              <w:rPr>
                <w:noProof/>
                <w:webHidden/>
              </w:rPr>
            </w:r>
            <w:r>
              <w:rPr>
                <w:noProof/>
                <w:webHidden/>
              </w:rPr>
              <w:fldChar w:fldCharType="separate"/>
            </w:r>
            <w:r>
              <w:rPr>
                <w:noProof/>
                <w:webHidden/>
              </w:rPr>
              <w:t>11</w:t>
            </w:r>
            <w:r>
              <w:rPr>
                <w:noProof/>
                <w:webHidden/>
              </w:rPr>
              <w:fldChar w:fldCharType="end"/>
            </w:r>
          </w:hyperlink>
        </w:p>
        <w:p w14:paraId="4F255E44" w14:textId="21C754F4"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7" w:history="1">
            <w:r w:rsidRPr="00AE3513">
              <w:rPr>
                <w:rStyle w:val="Hyperlink"/>
                <w:rFonts w:asciiTheme="majorHAnsi" w:eastAsia="MS Gothic" w:hAnsiTheme="majorHAnsi" w:cstheme="majorHAnsi"/>
                <w:b/>
                <w:bCs/>
                <w:noProof/>
                <w:lang w:val="fr-FR"/>
              </w:rPr>
              <w:t>8.3.5</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Prise en compte des travaux de l’audit interne</w:t>
            </w:r>
            <w:r>
              <w:rPr>
                <w:noProof/>
                <w:webHidden/>
              </w:rPr>
              <w:tab/>
            </w:r>
            <w:r>
              <w:rPr>
                <w:noProof/>
                <w:webHidden/>
              </w:rPr>
              <w:fldChar w:fldCharType="begin"/>
            </w:r>
            <w:r>
              <w:rPr>
                <w:noProof/>
                <w:webHidden/>
              </w:rPr>
              <w:instrText xml:space="preserve"> PAGEREF _Toc103940837 \h </w:instrText>
            </w:r>
            <w:r>
              <w:rPr>
                <w:noProof/>
                <w:webHidden/>
              </w:rPr>
            </w:r>
            <w:r>
              <w:rPr>
                <w:noProof/>
                <w:webHidden/>
              </w:rPr>
              <w:fldChar w:fldCharType="separate"/>
            </w:r>
            <w:r>
              <w:rPr>
                <w:noProof/>
                <w:webHidden/>
              </w:rPr>
              <w:t>11</w:t>
            </w:r>
            <w:r>
              <w:rPr>
                <w:noProof/>
                <w:webHidden/>
              </w:rPr>
              <w:fldChar w:fldCharType="end"/>
            </w:r>
          </w:hyperlink>
        </w:p>
        <w:p w14:paraId="679E399B" w14:textId="766C90C7"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8" w:history="1">
            <w:r w:rsidRPr="00AE3513">
              <w:rPr>
                <w:rStyle w:val="Hyperlink"/>
                <w:rFonts w:asciiTheme="majorHAnsi" w:eastAsia="MS Gothic" w:hAnsiTheme="majorHAnsi" w:cstheme="majorHAnsi"/>
                <w:b/>
                <w:bCs/>
                <w:noProof/>
                <w:lang w:val="fr-FR"/>
              </w:rPr>
              <w:t>8.3.6</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Prise en compte des travaux d’experts</w:t>
            </w:r>
            <w:r>
              <w:rPr>
                <w:noProof/>
                <w:webHidden/>
              </w:rPr>
              <w:tab/>
            </w:r>
            <w:r>
              <w:rPr>
                <w:noProof/>
                <w:webHidden/>
              </w:rPr>
              <w:fldChar w:fldCharType="begin"/>
            </w:r>
            <w:r>
              <w:rPr>
                <w:noProof/>
                <w:webHidden/>
              </w:rPr>
              <w:instrText xml:space="preserve"> PAGEREF _Toc103940838 \h </w:instrText>
            </w:r>
            <w:r>
              <w:rPr>
                <w:noProof/>
                <w:webHidden/>
              </w:rPr>
            </w:r>
            <w:r>
              <w:rPr>
                <w:noProof/>
                <w:webHidden/>
              </w:rPr>
              <w:fldChar w:fldCharType="separate"/>
            </w:r>
            <w:r>
              <w:rPr>
                <w:noProof/>
                <w:webHidden/>
              </w:rPr>
              <w:t>11</w:t>
            </w:r>
            <w:r>
              <w:rPr>
                <w:noProof/>
                <w:webHidden/>
              </w:rPr>
              <w:fldChar w:fldCharType="end"/>
            </w:r>
          </w:hyperlink>
        </w:p>
        <w:p w14:paraId="3C14E685" w14:textId="31DBB209"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39" w:history="1">
            <w:r w:rsidRPr="00AE3513">
              <w:rPr>
                <w:rStyle w:val="Hyperlink"/>
                <w:rFonts w:asciiTheme="majorHAnsi" w:eastAsia="MS Gothic" w:hAnsiTheme="majorHAnsi" w:cstheme="majorHAnsi"/>
                <w:b/>
                <w:bCs/>
                <w:noProof/>
              </w:rPr>
              <w:t>8.3.7</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Déclarations écrites</w:t>
            </w:r>
            <w:r>
              <w:rPr>
                <w:noProof/>
                <w:webHidden/>
              </w:rPr>
              <w:tab/>
            </w:r>
            <w:r>
              <w:rPr>
                <w:noProof/>
                <w:webHidden/>
              </w:rPr>
              <w:fldChar w:fldCharType="begin"/>
            </w:r>
            <w:r>
              <w:rPr>
                <w:noProof/>
                <w:webHidden/>
              </w:rPr>
              <w:instrText xml:space="preserve"> PAGEREF _Toc103940839 \h </w:instrText>
            </w:r>
            <w:r>
              <w:rPr>
                <w:noProof/>
                <w:webHidden/>
              </w:rPr>
            </w:r>
            <w:r>
              <w:rPr>
                <w:noProof/>
                <w:webHidden/>
              </w:rPr>
              <w:fldChar w:fldCharType="separate"/>
            </w:r>
            <w:r>
              <w:rPr>
                <w:noProof/>
                <w:webHidden/>
              </w:rPr>
              <w:t>12</w:t>
            </w:r>
            <w:r>
              <w:rPr>
                <w:noProof/>
                <w:webHidden/>
              </w:rPr>
              <w:fldChar w:fldCharType="end"/>
            </w:r>
          </w:hyperlink>
        </w:p>
        <w:p w14:paraId="08DC55C9" w14:textId="5EB32247"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40" w:history="1">
            <w:r w:rsidRPr="00AE3513">
              <w:rPr>
                <w:rStyle w:val="Hyperlink"/>
                <w:rFonts w:asciiTheme="majorHAnsi" w:eastAsia="MS Gothic" w:hAnsiTheme="majorHAnsi" w:cstheme="majorHAnsi"/>
                <w:b/>
                <w:bCs/>
                <w:noProof/>
              </w:rPr>
              <w:t>8.3.8</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Lettre complémentaire</w:t>
            </w:r>
            <w:r>
              <w:rPr>
                <w:noProof/>
                <w:webHidden/>
              </w:rPr>
              <w:tab/>
            </w:r>
            <w:r>
              <w:rPr>
                <w:noProof/>
                <w:webHidden/>
              </w:rPr>
              <w:fldChar w:fldCharType="begin"/>
            </w:r>
            <w:r>
              <w:rPr>
                <w:noProof/>
                <w:webHidden/>
              </w:rPr>
              <w:instrText xml:space="preserve"> PAGEREF _Toc103940840 \h </w:instrText>
            </w:r>
            <w:r>
              <w:rPr>
                <w:noProof/>
                <w:webHidden/>
              </w:rPr>
            </w:r>
            <w:r>
              <w:rPr>
                <w:noProof/>
                <w:webHidden/>
              </w:rPr>
              <w:fldChar w:fldCharType="separate"/>
            </w:r>
            <w:r>
              <w:rPr>
                <w:noProof/>
                <w:webHidden/>
              </w:rPr>
              <w:t>12</w:t>
            </w:r>
            <w:r>
              <w:rPr>
                <w:noProof/>
                <w:webHidden/>
              </w:rPr>
              <w:fldChar w:fldCharType="end"/>
            </w:r>
          </w:hyperlink>
        </w:p>
        <w:p w14:paraId="07D3AEDA" w14:textId="73A4124C"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41" w:history="1">
            <w:r w:rsidRPr="00AE3513">
              <w:rPr>
                <w:rStyle w:val="Hyperlink"/>
                <w:rFonts w:asciiTheme="majorHAnsi" w:eastAsia="MS Gothic" w:hAnsiTheme="majorHAnsi" w:cstheme="majorHAnsi"/>
                <w:b/>
                <w:bCs/>
                <w:noProof/>
              </w:rPr>
              <w:t>8.3.9</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Compte rendu (aide-mémoire)</w:t>
            </w:r>
            <w:r>
              <w:rPr>
                <w:noProof/>
                <w:webHidden/>
              </w:rPr>
              <w:tab/>
            </w:r>
            <w:r>
              <w:rPr>
                <w:noProof/>
                <w:webHidden/>
              </w:rPr>
              <w:fldChar w:fldCharType="begin"/>
            </w:r>
            <w:r>
              <w:rPr>
                <w:noProof/>
                <w:webHidden/>
              </w:rPr>
              <w:instrText xml:space="preserve"> PAGEREF _Toc103940841 \h </w:instrText>
            </w:r>
            <w:r>
              <w:rPr>
                <w:noProof/>
                <w:webHidden/>
              </w:rPr>
            </w:r>
            <w:r>
              <w:rPr>
                <w:noProof/>
                <w:webHidden/>
              </w:rPr>
              <w:fldChar w:fldCharType="separate"/>
            </w:r>
            <w:r>
              <w:rPr>
                <w:noProof/>
                <w:webHidden/>
              </w:rPr>
              <w:t>12</w:t>
            </w:r>
            <w:r>
              <w:rPr>
                <w:noProof/>
                <w:webHidden/>
              </w:rPr>
              <w:fldChar w:fldCharType="end"/>
            </w:r>
          </w:hyperlink>
        </w:p>
        <w:p w14:paraId="5EE7A8D3" w14:textId="24511338" w:rsidR="007C7F1E" w:rsidRDefault="007C7F1E">
          <w:pPr>
            <w:pStyle w:val="TOC3"/>
            <w:tabs>
              <w:tab w:val="left" w:pos="1320"/>
              <w:tab w:val="right" w:leader="dot" w:pos="9622"/>
            </w:tabs>
            <w:rPr>
              <w:rFonts w:eastAsiaTheme="minorEastAsia" w:cstheme="minorBidi"/>
              <w:i w:val="0"/>
              <w:iCs w:val="0"/>
              <w:noProof/>
              <w:sz w:val="22"/>
              <w:szCs w:val="22"/>
            </w:rPr>
          </w:pPr>
          <w:hyperlink w:anchor="_Toc103940842" w:history="1">
            <w:r w:rsidRPr="00AE3513">
              <w:rPr>
                <w:rStyle w:val="Hyperlink"/>
                <w:rFonts w:asciiTheme="majorHAnsi" w:eastAsia="MS Gothic" w:hAnsiTheme="majorHAnsi" w:cstheme="majorHAnsi"/>
                <w:b/>
                <w:bCs/>
                <w:noProof/>
                <w:lang w:val="fr-FR"/>
              </w:rPr>
              <w:t>8.3.10</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Réunion de clôture d’audit dans le pays</w:t>
            </w:r>
            <w:r>
              <w:rPr>
                <w:noProof/>
                <w:webHidden/>
              </w:rPr>
              <w:tab/>
            </w:r>
            <w:r>
              <w:rPr>
                <w:noProof/>
                <w:webHidden/>
              </w:rPr>
              <w:fldChar w:fldCharType="begin"/>
            </w:r>
            <w:r>
              <w:rPr>
                <w:noProof/>
                <w:webHidden/>
              </w:rPr>
              <w:instrText xml:space="preserve"> PAGEREF _Toc103940842 \h </w:instrText>
            </w:r>
            <w:r>
              <w:rPr>
                <w:noProof/>
                <w:webHidden/>
              </w:rPr>
            </w:r>
            <w:r>
              <w:rPr>
                <w:noProof/>
                <w:webHidden/>
              </w:rPr>
              <w:fldChar w:fldCharType="separate"/>
            </w:r>
            <w:r>
              <w:rPr>
                <w:noProof/>
                <w:webHidden/>
              </w:rPr>
              <w:t>12</w:t>
            </w:r>
            <w:r>
              <w:rPr>
                <w:noProof/>
                <w:webHidden/>
              </w:rPr>
              <w:fldChar w:fldCharType="end"/>
            </w:r>
          </w:hyperlink>
        </w:p>
        <w:p w14:paraId="7844995D" w14:textId="2CDEEA95" w:rsidR="007C7F1E" w:rsidRDefault="007C7F1E">
          <w:pPr>
            <w:pStyle w:val="TOC1"/>
            <w:tabs>
              <w:tab w:val="right" w:leader="dot" w:pos="9622"/>
            </w:tabs>
            <w:rPr>
              <w:rFonts w:eastAsiaTheme="minorEastAsia" w:cstheme="minorBidi"/>
              <w:b w:val="0"/>
              <w:bCs w:val="0"/>
              <w:caps w:val="0"/>
              <w:noProof/>
              <w:sz w:val="22"/>
              <w:szCs w:val="22"/>
            </w:rPr>
          </w:pPr>
          <w:hyperlink w:anchor="_Toc103940843" w:history="1">
            <w:r w:rsidRPr="00AE3513">
              <w:rPr>
                <w:rStyle w:val="Hyperlink"/>
                <w:rFonts w:asciiTheme="majorHAnsi" w:eastAsia="MS Gothic" w:hAnsiTheme="majorHAnsi" w:cstheme="majorHAnsi"/>
                <w:noProof/>
                <w:lang w:val="fr"/>
              </w:rPr>
              <w:t>10 Lettre de recommandation.</w:t>
            </w:r>
            <w:r>
              <w:rPr>
                <w:noProof/>
                <w:webHidden/>
              </w:rPr>
              <w:tab/>
            </w:r>
            <w:r>
              <w:rPr>
                <w:noProof/>
                <w:webHidden/>
              </w:rPr>
              <w:fldChar w:fldCharType="begin"/>
            </w:r>
            <w:r>
              <w:rPr>
                <w:noProof/>
                <w:webHidden/>
              </w:rPr>
              <w:instrText xml:space="preserve"> PAGEREF _Toc103940843 \h </w:instrText>
            </w:r>
            <w:r>
              <w:rPr>
                <w:noProof/>
                <w:webHidden/>
              </w:rPr>
            </w:r>
            <w:r>
              <w:rPr>
                <w:noProof/>
                <w:webHidden/>
              </w:rPr>
              <w:fldChar w:fldCharType="separate"/>
            </w:r>
            <w:r>
              <w:rPr>
                <w:noProof/>
                <w:webHidden/>
              </w:rPr>
              <w:t>12</w:t>
            </w:r>
            <w:r>
              <w:rPr>
                <w:noProof/>
                <w:webHidden/>
              </w:rPr>
              <w:fldChar w:fldCharType="end"/>
            </w:r>
          </w:hyperlink>
        </w:p>
        <w:p w14:paraId="7ABC8881" w14:textId="0CFD33F5"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44" w:history="1">
            <w:r w:rsidRPr="00AE3513">
              <w:rPr>
                <w:rStyle w:val="Hyperlink"/>
                <w:rFonts w:asciiTheme="majorHAnsi" w:eastAsia="MS Gothic" w:hAnsiTheme="majorHAnsi" w:cstheme="majorHAnsi"/>
                <w:b/>
                <w:bCs/>
                <w:noProof/>
              </w:rPr>
              <w:t>10.1</w:t>
            </w:r>
            <w:r>
              <w:rPr>
                <w:rFonts w:eastAsiaTheme="minorEastAsia" w:cstheme="minorBidi"/>
                <w:i w:val="0"/>
                <w:iCs w:val="0"/>
                <w:noProof/>
                <w:sz w:val="22"/>
                <w:szCs w:val="22"/>
              </w:rPr>
              <w:tab/>
            </w:r>
            <w:r w:rsidRPr="00AE3513">
              <w:rPr>
                <w:rStyle w:val="Hyperlink"/>
                <w:rFonts w:asciiTheme="majorHAnsi" w:hAnsiTheme="majorHAnsi" w:cstheme="majorHAnsi"/>
                <w:b/>
                <w:bCs/>
                <w:noProof/>
                <w:lang w:val="fr"/>
              </w:rPr>
              <w:t>Cadre de contrôle interne</w:t>
            </w:r>
            <w:r>
              <w:rPr>
                <w:noProof/>
                <w:webHidden/>
              </w:rPr>
              <w:tab/>
            </w:r>
            <w:r>
              <w:rPr>
                <w:noProof/>
                <w:webHidden/>
              </w:rPr>
              <w:fldChar w:fldCharType="begin"/>
            </w:r>
            <w:r>
              <w:rPr>
                <w:noProof/>
                <w:webHidden/>
              </w:rPr>
              <w:instrText xml:space="preserve"> PAGEREF _Toc103940844 \h </w:instrText>
            </w:r>
            <w:r>
              <w:rPr>
                <w:noProof/>
                <w:webHidden/>
              </w:rPr>
            </w:r>
            <w:r>
              <w:rPr>
                <w:noProof/>
                <w:webHidden/>
              </w:rPr>
              <w:fldChar w:fldCharType="separate"/>
            </w:r>
            <w:r>
              <w:rPr>
                <w:noProof/>
                <w:webHidden/>
              </w:rPr>
              <w:t>13</w:t>
            </w:r>
            <w:r>
              <w:rPr>
                <w:noProof/>
                <w:webHidden/>
              </w:rPr>
              <w:fldChar w:fldCharType="end"/>
            </w:r>
          </w:hyperlink>
        </w:p>
        <w:p w14:paraId="2DCDC9A8" w14:textId="15A9F5A9"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45" w:history="1">
            <w:r w:rsidRPr="00AE3513">
              <w:rPr>
                <w:rStyle w:val="Hyperlink"/>
                <w:rFonts w:asciiTheme="majorHAnsi" w:eastAsia="MS Gothic" w:hAnsiTheme="majorHAnsi" w:cstheme="majorHAnsi"/>
                <w:b/>
                <w:bCs/>
                <w:noProof/>
              </w:rPr>
              <w:t>10.2</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Gestion des risques</w:t>
            </w:r>
            <w:r>
              <w:rPr>
                <w:noProof/>
                <w:webHidden/>
              </w:rPr>
              <w:tab/>
            </w:r>
            <w:r>
              <w:rPr>
                <w:noProof/>
                <w:webHidden/>
              </w:rPr>
              <w:fldChar w:fldCharType="begin"/>
            </w:r>
            <w:r>
              <w:rPr>
                <w:noProof/>
                <w:webHidden/>
              </w:rPr>
              <w:instrText xml:space="preserve"> PAGEREF _Toc103940845 \h </w:instrText>
            </w:r>
            <w:r>
              <w:rPr>
                <w:noProof/>
                <w:webHidden/>
              </w:rPr>
            </w:r>
            <w:r>
              <w:rPr>
                <w:noProof/>
                <w:webHidden/>
              </w:rPr>
              <w:fldChar w:fldCharType="separate"/>
            </w:r>
            <w:r>
              <w:rPr>
                <w:noProof/>
                <w:webHidden/>
              </w:rPr>
              <w:t>14</w:t>
            </w:r>
            <w:r>
              <w:rPr>
                <w:noProof/>
                <w:webHidden/>
              </w:rPr>
              <w:fldChar w:fldCharType="end"/>
            </w:r>
          </w:hyperlink>
        </w:p>
        <w:p w14:paraId="4ABDF132" w14:textId="23B9BF07" w:rsidR="007C7F1E" w:rsidRDefault="007C7F1E">
          <w:pPr>
            <w:pStyle w:val="TOC3"/>
            <w:tabs>
              <w:tab w:val="left" w:pos="1100"/>
              <w:tab w:val="right" w:leader="dot" w:pos="9622"/>
            </w:tabs>
            <w:rPr>
              <w:rFonts w:eastAsiaTheme="minorEastAsia" w:cstheme="minorBidi"/>
              <w:i w:val="0"/>
              <w:iCs w:val="0"/>
              <w:noProof/>
              <w:sz w:val="22"/>
              <w:szCs w:val="22"/>
            </w:rPr>
          </w:pPr>
          <w:hyperlink w:anchor="_Toc103940846" w:history="1">
            <w:r w:rsidRPr="00AE3513">
              <w:rPr>
                <w:rStyle w:val="Hyperlink"/>
                <w:rFonts w:asciiTheme="majorHAnsi" w:eastAsia="MS Gothic" w:hAnsiTheme="majorHAnsi" w:cstheme="majorHAnsi"/>
                <w:b/>
                <w:bCs/>
                <w:noProof/>
              </w:rPr>
              <w:t>10.3</w:t>
            </w:r>
            <w:r>
              <w:rPr>
                <w:rFonts w:eastAsiaTheme="minorEastAsia" w:cstheme="minorBidi"/>
                <w:i w:val="0"/>
                <w:iCs w:val="0"/>
                <w:noProof/>
                <w:sz w:val="22"/>
                <w:szCs w:val="22"/>
              </w:rPr>
              <w:tab/>
            </w:r>
            <w:r w:rsidRPr="00AE3513">
              <w:rPr>
                <w:rStyle w:val="Hyperlink"/>
                <w:rFonts w:asciiTheme="majorHAnsi" w:eastAsia="MS Gothic" w:hAnsiTheme="majorHAnsi" w:cstheme="majorHAnsi"/>
                <w:b/>
                <w:bCs/>
                <w:noProof/>
                <w:lang w:val="fr"/>
              </w:rPr>
              <w:t>Autres déclarations importantes</w:t>
            </w:r>
            <w:r>
              <w:rPr>
                <w:noProof/>
                <w:webHidden/>
              </w:rPr>
              <w:tab/>
            </w:r>
            <w:r>
              <w:rPr>
                <w:noProof/>
                <w:webHidden/>
              </w:rPr>
              <w:fldChar w:fldCharType="begin"/>
            </w:r>
            <w:r>
              <w:rPr>
                <w:noProof/>
                <w:webHidden/>
              </w:rPr>
              <w:instrText xml:space="preserve"> PAGEREF _Toc103940846 \h </w:instrText>
            </w:r>
            <w:r>
              <w:rPr>
                <w:noProof/>
                <w:webHidden/>
              </w:rPr>
            </w:r>
            <w:r>
              <w:rPr>
                <w:noProof/>
                <w:webHidden/>
              </w:rPr>
              <w:fldChar w:fldCharType="separate"/>
            </w:r>
            <w:r>
              <w:rPr>
                <w:noProof/>
                <w:webHidden/>
              </w:rPr>
              <w:t>14</w:t>
            </w:r>
            <w:r>
              <w:rPr>
                <w:noProof/>
                <w:webHidden/>
              </w:rPr>
              <w:fldChar w:fldCharType="end"/>
            </w:r>
          </w:hyperlink>
        </w:p>
        <w:p w14:paraId="73DAE9B9" w14:textId="23239D7C"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47" w:history="1">
            <w:r w:rsidRPr="00AE3513">
              <w:rPr>
                <w:rStyle w:val="Hyperlink"/>
                <w:rFonts w:asciiTheme="majorHAnsi" w:eastAsia="MS Gothic" w:hAnsiTheme="majorHAnsi" w:cstheme="majorHAnsi"/>
                <w:noProof/>
              </w:rPr>
              <w:t>11</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Processus d’examen du rapport provisoire</w:t>
            </w:r>
            <w:r>
              <w:rPr>
                <w:noProof/>
                <w:webHidden/>
              </w:rPr>
              <w:tab/>
            </w:r>
            <w:r>
              <w:rPr>
                <w:noProof/>
                <w:webHidden/>
              </w:rPr>
              <w:fldChar w:fldCharType="begin"/>
            </w:r>
            <w:r>
              <w:rPr>
                <w:noProof/>
                <w:webHidden/>
              </w:rPr>
              <w:instrText xml:space="preserve"> PAGEREF _Toc103940847 \h </w:instrText>
            </w:r>
            <w:r>
              <w:rPr>
                <w:noProof/>
                <w:webHidden/>
              </w:rPr>
            </w:r>
            <w:r>
              <w:rPr>
                <w:noProof/>
                <w:webHidden/>
              </w:rPr>
              <w:fldChar w:fldCharType="separate"/>
            </w:r>
            <w:r>
              <w:rPr>
                <w:noProof/>
                <w:webHidden/>
              </w:rPr>
              <w:t>15</w:t>
            </w:r>
            <w:r>
              <w:rPr>
                <w:noProof/>
                <w:webHidden/>
              </w:rPr>
              <w:fldChar w:fldCharType="end"/>
            </w:r>
          </w:hyperlink>
        </w:p>
        <w:p w14:paraId="304540E4" w14:textId="056D61A6"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48" w:history="1">
            <w:r w:rsidRPr="00AE3513">
              <w:rPr>
                <w:rStyle w:val="Hyperlink"/>
                <w:rFonts w:asciiTheme="majorHAnsi" w:eastAsia="MS Gothic" w:hAnsiTheme="majorHAnsi" w:cstheme="majorHAnsi"/>
                <w:noProof/>
              </w:rPr>
              <w:t>12</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Rapport final et langue</w:t>
            </w:r>
            <w:r>
              <w:rPr>
                <w:noProof/>
                <w:webHidden/>
              </w:rPr>
              <w:tab/>
            </w:r>
            <w:r>
              <w:rPr>
                <w:noProof/>
                <w:webHidden/>
              </w:rPr>
              <w:fldChar w:fldCharType="begin"/>
            </w:r>
            <w:r>
              <w:rPr>
                <w:noProof/>
                <w:webHidden/>
              </w:rPr>
              <w:instrText xml:space="preserve"> PAGEREF _Toc103940848 \h </w:instrText>
            </w:r>
            <w:r>
              <w:rPr>
                <w:noProof/>
                <w:webHidden/>
              </w:rPr>
            </w:r>
            <w:r>
              <w:rPr>
                <w:noProof/>
                <w:webHidden/>
              </w:rPr>
              <w:fldChar w:fldCharType="separate"/>
            </w:r>
            <w:r>
              <w:rPr>
                <w:noProof/>
                <w:webHidden/>
              </w:rPr>
              <w:t>15</w:t>
            </w:r>
            <w:r>
              <w:rPr>
                <w:noProof/>
                <w:webHidden/>
              </w:rPr>
              <w:fldChar w:fldCharType="end"/>
            </w:r>
          </w:hyperlink>
        </w:p>
        <w:p w14:paraId="6BD726D8" w14:textId="7D6F016B"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49" w:history="1">
            <w:r w:rsidRPr="00AE3513">
              <w:rPr>
                <w:rStyle w:val="Hyperlink"/>
                <w:rFonts w:asciiTheme="majorHAnsi" w:eastAsia="MS Gothic" w:hAnsiTheme="majorHAnsi" w:cstheme="majorHAnsi"/>
                <w:noProof/>
                <w:lang w:val="fr-FR"/>
              </w:rPr>
              <w:t>13</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Évaluation des résultats de l’auditeur, rotation et non-reconduction</w:t>
            </w:r>
            <w:r>
              <w:rPr>
                <w:noProof/>
                <w:webHidden/>
              </w:rPr>
              <w:tab/>
            </w:r>
            <w:r>
              <w:rPr>
                <w:noProof/>
                <w:webHidden/>
              </w:rPr>
              <w:fldChar w:fldCharType="begin"/>
            </w:r>
            <w:r>
              <w:rPr>
                <w:noProof/>
                <w:webHidden/>
              </w:rPr>
              <w:instrText xml:space="preserve"> PAGEREF _Toc103940849 \h </w:instrText>
            </w:r>
            <w:r>
              <w:rPr>
                <w:noProof/>
                <w:webHidden/>
              </w:rPr>
            </w:r>
            <w:r>
              <w:rPr>
                <w:noProof/>
                <w:webHidden/>
              </w:rPr>
              <w:fldChar w:fldCharType="separate"/>
            </w:r>
            <w:r>
              <w:rPr>
                <w:noProof/>
                <w:webHidden/>
              </w:rPr>
              <w:t>15</w:t>
            </w:r>
            <w:r>
              <w:rPr>
                <w:noProof/>
                <w:webHidden/>
              </w:rPr>
              <w:fldChar w:fldCharType="end"/>
            </w:r>
          </w:hyperlink>
        </w:p>
        <w:p w14:paraId="37FA1944" w14:textId="6BD740B9" w:rsidR="007C7F1E" w:rsidRDefault="007C7F1E">
          <w:pPr>
            <w:pStyle w:val="TOC1"/>
            <w:tabs>
              <w:tab w:val="left" w:pos="440"/>
              <w:tab w:val="right" w:leader="dot" w:pos="9622"/>
            </w:tabs>
            <w:rPr>
              <w:rFonts w:eastAsiaTheme="minorEastAsia" w:cstheme="minorBidi"/>
              <w:b w:val="0"/>
              <w:bCs w:val="0"/>
              <w:caps w:val="0"/>
              <w:noProof/>
              <w:sz w:val="22"/>
              <w:szCs w:val="22"/>
            </w:rPr>
          </w:pPr>
          <w:hyperlink w:anchor="_Toc103940850" w:history="1">
            <w:r w:rsidRPr="00AE3513">
              <w:rPr>
                <w:rStyle w:val="Hyperlink"/>
                <w:rFonts w:asciiTheme="majorHAnsi" w:eastAsia="MS Gothic" w:hAnsiTheme="majorHAnsi" w:cstheme="majorHAnsi"/>
                <w:noProof/>
              </w:rPr>
              <w:t>14</w:t>
            </w:r>
            <w:r>
              <w:rPr>
                <w:rFonts w:eastAsiaTheme="minorEastAsia" w:cstheme="minorBidi"/>
                <w:b w:val="0"/>
                <w:bCs w:val="0"/>
                <w:caps w:val="0"/>
                <w:noProof/>
                <w:sz w:val="22"/>
                <w:szCs w:val="22"/>
              </w:rPr>
              <w:tab/>
            </w:r>
            <w:r w:rsidRPr="00AE3513">
              <w:rPr>
                <w:rStyle w:val="Hyperlink"/>
                <w:rFonts w:asciiTheme="majorHAnsi" w:eastAsia="MS Gothic" w:hAnsiTheme="majorHAnsi" w:cstheme="majorHAnsi"/>
                <w:noProof/>
                <w:lang w:val="fr"/>
              </w:rPr>
              <w:t>Informations générales</w:t>
            </w:r>
            <w:r>
              <w:rPr>
                <w:noProof/>
                <w:webHidden/>
              </w:rPr>
              <w:tab/>
            </w:r>
            <w:r>
              <w:rPr>
                <w:noProof/>
                <w:webHidden/>
              </w:rPr>
              <w:fldChar w:fldCharType="begin"/>
            </w:r>
            <w:r>
              <w:rPr>
                <w:noProof/>
                <w:webHidden/>
              </w:rPr>
              <w:instrText xml:space="preserve"> PAGEREF _Toc103940850 \h </w:instrText>
            </w:r>
            <w:r>
              <w:rPr>
                <w:noProof/>
                <w:webHidden/>
              </w:rPr>
            </w:r>
            <w:r>
              <w:rPr>
                <w:noProof/>
                <w:webHidden/>
              </w:rPr>
              <w:fldChar w:fldCharType="separate"/>
            </w:r>
            <w:r>
              <w:rPr>
                <w:noProof/>
                <w:webHidden/>
              </w:rPr>
              <w:t>15</w:t>
            </w:r>
            <w:r>
              <w:rPr>
                <w:noProof/>
                <w:webHidden/>
              </w:rPr>
              <w:fldChar w:fldCharType="end"/>
            </w:r>
          </w:hyperlink>
        </w:p>
        <w:p w14:paraId="2E6BB849" w14:textId="10A815A8" w:rsidR="00C86D6F" w:rsidRPr="004B0F08" w:rsidRDefault="00C86D6F" w:rsidP="00C86D6F">
          <w:pPr>
            <w:spacing w:before="0" w:line="240" w:lineRule="auto"/>
            <w:jc w:val="both"/>
            <w:rPr>
              <w:rFonts w:eastAsia="MS Mincho" w:cs="Arial"/>
              <w:szCs w:val="24"/>
            </w:rPr>
          </w:pPr>
          <w:r>
            <w:rPr>
              <w:rFonts w:asciiTheme="minorHAnsi" w:eastAsia="MS Mincho" w:hAnsiTheme="minorHAnsi" w:cstheme="minorHAnsi"/>
              <w:caps/>
              <w:sz w:val="20"/>
              <w:szCs w:val="20"/>
            </w:rPr>
            <w:fldChar w:fldCharType="end"/>
          </w:r>
        </w:p>
      </w:sdtContent>
    </w:sdt>
    <w:p w14:paraId="75899D43" w14:textId="77777777" w:rsidR="00C86D6F" w:rsidRPr="004B0F08" w:rsidRDefault="00C86D6F" w:rsidP="00C86D6F">
      <w:pPr>
        <w:spacing w:before="0" w:after="0" w:line="240" w:lineRule="auto"/>
        <w:jc w:val="both"/>
        <w:rPr>
          <w:rFonts w:eastAsia="MS Gothic" w:cs="Arial"/>
          <w:bCs/>
          <w:color w:val="000000"/>
          <w:szCs w:val="28"/>
        </w:rPr>
      </w:pPr>
      <w:r>
        <w:rPr>
          <w:rFonts w:eastAsia="MS Mincho" w:cs="Arial"/>
          <w:color w:val="000000"/>
          <w:szCs w:val="24"/>
          <w:lang w:val="fr"/>
        </w:rPr>
        <w:br w:type="page"/>
      </w:r>
    </w:p>
    <w:p w14:paraId="3B62FDE3" w14:textId="77777777" w:rsidR="00382C10" w:rsidRPr="0003530F" w:rsidRDefault="00382C10" w:rsidP="00382C10">
      <w:pPr>
        <w:spacing w:before="0" w:after="120" w:line="240" w:lineRule="auto"/>
        <w:rPr>
          <w:rFonts w:asciiTheme="majorHAnsi" w:eastAsia="MS Mincho" w:hAnsiTheme="majorHAnsi" w:cstheme="majorHAnsi"/>
          <w:b/>
          <w:sz w:val="28"/>
          <w:lang w:val="fr-FR"/>
        </w:rPr>
      </w:pPr>
      <w:bookmarkStart w:id="1" w:name="_Hlk12892576"/>
      <w:r>
        <w:rPr>
          <w:rFonts w:asciiTheme="majorHAnsi" w:eastAsia="MS Mincho" w:hAnsiTheme="majorHAnsi" w:cstheme="majorHAnsi"/>
          <w:b/>
          <w:bCs/>
          <w:noProof/>
          <w:color w:val="000000"/>
          <w:sz w:val="28"/>
          <w:szCs w:val="24"/>
          <w:lang w:val="fr"/>
        </w:rPr>
        <w:lastRenderedPageBreak/>
        <w:t>Cadre de référence pour l’audit des états financiers des subventions à des fins spéciales</w:t>
      </w:r>
    </w:p>
    <w:p w14:paraId="5FB2D2B1" w14:textId="77777777" w:rsidR="00382C10" w:rsidRPr="0003530F" w:rsidRDefault="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fr-FR"/>
        </w:rPr>
      </w:pPr>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Start w:id="10" w:name="_Toc103940818"/>
      <w:bookmarkEnd w:id="1"/>
      <w:r>
        <w:rPr>
          <w:rFonts w:asciiTheme="majorHAnsi" w:eastAsia="MS Gothic" w:hAnsiTheme="majorHAnsi" w:cstheme="majorHAnsi"/>
          <w:b/>
          <w:bCs/>
          <w:noProof/>
          <w:color w:val="000000"/>
          <w:sz w:val="24"/>
          <w:szCs w:val="28"/>
          <w:lang w:val="fr"/>
        </w:rPr>
        <w:t>Contexte des programmes, structure d’audit et description des entités</w:t>
      </w:r>
      <w:bookmarkEnd w:id="2"/>
      <w:bookmarkEnd w:id="3"/>
      <w:bookmarkEnd w:id="4"/>
      <w:bookmarkEnd w:id="5"/>
      <w:bookmarkEnd w:id="6"/>
      <w:bookmarkEnd w:id="7"/>
      <w:bookmarkEnd w:id="8"/>
      <w:bookmarkEnd w:id="9"/>
      <w:bookmarkEnd w:id="10"/>
    </w:p>
    <w:p w14:paraId="6A49B959" w14:textId="77777777" w:rsidR="00382C10" w:rsidRPr="0003530F" w:rsidRDefault="00382C10" w:rsidP="00382C10">
      <w:pPr>
        <w:keepNext/>
        <w:keepLines/>
        <w:numPr>
          <w:ilvl w:val="1"/>
          <w:numId w:val="42"/>
        </w:numPr>
        <w:spacing w:before="240" w:after="120" w:line="240" w:lineRule="auto"/>
        <w:outlineLvl w:val="0"/>
        <w:rPr>
          <w:rFonts w:asciiTheme="majorHAnsi" w:eastAsia="MS Gothic" w:hAnsiTheme="majorHAnsi" w:cstheme="majorHAnsi"/>
          <w:b/>
          <w:bCs/>
          <w:color w:val="000000"/>
          <w:sz w:val="24"/>
          <w:szCs w:val="28"/>
          <w:lang w:val="fr-FR"/>
        </w:rPr>
      </w:pPr>
      <w:bookmarkStart w:id="11" w:name="_Toc20466632"/>
      <w:bookmarkStart w:id="12" w:name="_Toc19972438"/>
      <w:bookmarkStart w:id="13" w:name="_Toc19972272"/>
      <w:bookmarkStart w:id="14" w:name="_Toc19972106"/>
      <w:bookmarkStart w:id="15" w:name="_Toc19971940"/>
      <w:bookmarkStart w:id="16" w:name="_Toc19971774"/>
      <w:bookmarkStart w:id="17" w:name="_Toc19971608"/>
      <w:bookmarkStart w:id="18" w:name="_Toc5026409"/>
      <w:bookmarkStart w:id="19" w:name="_Toc103940819"/>
      <w:r>
        <w:rPr>
          <w:rFonts w:asciiTheme="majorHAnsi" w:eastAsia="MS Gothic" w:hAnsiTheme="majorHAnsi" w:cstheme="majorHAnsi"/>
          <w:b/>
          <w:bCs/>
          <w:noProof/>
          <w:color w:val="000000"/>
          <w:sz w:val="24"/>
          <w:szCs w:val="28"/>
          <w:lang w:val="fr"/>
        </w:rPr>
        <w:t>Contexte du programme : [à remplir par le récipiendaire principal]</w:t>
      </w:r>
      <w:bookmarkEnd w:id="11"/>
      <w:bookmarkEnd w:id="12"/>
      <w:bookmarkEnd w:id="13"/>
      <w:bookmarkEnd w:id="14"/>
      <w:bookmarkEnd w:id="15"/>
      <w:bookmarkEnd w:id="16"/>
      <w:bookmarkEnd w:id="17"/>
      <w:bookmarkEnd w:id="18"/>
      <w:bookmarkEnd w:id="19"/>
      <w:r>
        <w:rPr>
          <w:rFonts w:asciiTheme="majorHAnsi" w:eastAsia="MS Gothic" w:hAnsiTheme="majorHAnsi" w:cstheme="majorHAnsi"/>
          <w:b/>
          <w:bCs/>
          <w:noProof/>
          <w:color w:val="000000"/>
          <w:sz w:val="24"/>
          <w:szCs w:val="28"/>
          <w:lang w:val="fr"/>
        </w:rPr>
        <w:t xml:space="preserve"> </w:t>
      </w:r>
    </w:p>
    <w:p w14:paraId="29587E80"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b/>
          <w:lang w:val="fr-FR"/>
        </w:rPr>
      </w:pPr>
      <w:r>
        <w:rPr>
          <w:rFonts w:asciiTheme="majorHAnsi" w:eastAsia="Calibri" w:hAnsiTheme="majorHAnsi" w:cstheme="majorHAnsi"/>
          <w:noProof/>
          <w:lang w:val="fr"/>
        </w:rPr>
        <w:t xml:space="preserve">Le </w:t>
      </w:r>
      <w:bookmarkStart w:id="20" w:name="_Hlk22825161"/>
      <w:r>
        <w:rPr>
          <w:rFonts w:asciiTheme="majorHAnsi" w:eastAsia="Calibri" w:hAnsiTheme="majorHAnsi" w:cstheme="majorHAnsi"/>
          <w:noProof/>
          <w:lang w:val="fr"/>
        </w:rPr>
        <w:t xml:space="preserve">récipiendaire principal </w:t>
      </w:r>
      <w:bookmarkEnd w:id="20"/>
      <w:r>
        <w:rPr>
          <w:rFonts w:asciiTheme="majorHAnsi" w:eastAsia="Calibri" w:hAnsiTheme="majorHAnsi" w:cstheme="majorHAnsi"/>
          <w:noProof/>
          <w:lang w:val="fr"/>
        </w:rPr>
        <w:t xml:space="preserve">doit inclure un bref historique de la subvention, y compris ses principaux objectifs et activités.  Il peut être fait référence à la description du programme dans la </w:t>
      </w:r>
      <w:r>
        <w:rPr>
          <w:rFonts w:asciiTheme="majorHAnsi" w:eastAsia="Calibri" w:hAnsiTheme="majorHAnsi" w:cstheme="majorHAnsi"/>
          <w:lang w:val="fr"/>
        </w:rPr>
        <w:t xml:space="preserve">confirmation de subvention. </w:t>
      </w:r>
    </w:p>
    <w:p w14:paraId="42F9AEF2"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Le récipiendaire principal doit fournir toute information sur le montant de la subvention et le cycle de mise en œuvre essentielle à la compréhension de la portée de l’audit.  Il est, par exemple, utile de préciser la phase dans laquelle se trouve la subvention, le montant total engagé, toute modification apportée à la structure de la subvention, comme le regroupement avec une autre subvention, le montant prévu au budget pour l’année de l’audit et le montant versé par le Fonds mondial au récipiendaire principal, ainsi que les décaissements que ce dernier a effectués aux sous-récipiendaires.</w:t>
      </w:r>
    </w:p>
    <w:p w14:paraId="7FB94776" w14:textId="77777777" w:rsidR="00382C10" w:rsidRPr="0003530F" w:rsidRDefault="00382C10" w:rsidP="00382C10">
      <w:pPr>
        <w:keepNext/>
        <w:keepLines/>
        <w:numPr>
          <w:ilvl w:val="1"/>
          <w:numId w:val="42"/>
        </w:numPr>
        <w:spacing w:before="240" w:after="120" w:line="240" w:lineRule="auto"/>
        <w:outlineLvl w:val="0"/>
        <w:rPr>
          <w:rFonts w:asciiTheme="majorHAnsi" w:eastAsia="MS Gothic" w:hAnsiTheme="majorHAnsi" w:cstheme="majorHAnsi"/>
          <w:b/>
          <w:bCs/>
          <w:noProof/>
          <w:color w:val="000000"/>
          <w:sz w:val="24"/>
          <w:szCs w:val="28"/>
          <w:lang w:val="fr-FR"/>
        </w:rPr>
      </w:pPr>
      <w:bookmarkStart w:id="21" w:name="_Toc20466633"/>
      <w:bookmarkStart w:id="22" w:name="_Toc19972439"/>
      <w:bookmarkStart w:id="23" w:name="_Toc19972273"/>
      <w:bookmarkStart w:id="24" w:name="_Toc19972107"/>
      <w:bookmarkStart w:id="25" w:name="_Toc19971941"/>
      <w:bookmarkStart w:id="26" w:name="_Toc19971775"/>
      <w:bookmarkStart w:id="27" w:name="_Toc19971609"/>
      <w:bookmarkStart w:id="28" w:name="_Toc5026410"/>
      <w:bookmarkStart w:id="29" w:name="_Toc103940820"/>
      <w:r>
        <w:rPr>
          <w:rFonts w:asciiTheme="majorHAnsi" w:eastAsia="MS Gothic" w:hAnsiTheme="majorHAnsi" w:cstheme="majorHAnsi"/>
          <w:b/>
          <w:bCs/>
          <w:noProof/>
          <w:color w:val="000000"/>
          <w:sz w:val="24"/>
          <w:szCs w:val="28"/>
          <w:lang w:val="fr"/>
        </w:rPr>
        <w:t>Entités concernées et démarche d’audit : [à remplir par le récipiendaire principal]</w:t>
      </w:r>
      <w:bookmarkEnd w:id="21"/>
      <w:bookmarkEnd w:id="22"/>
      <w:bookmarkEnd w:id="23"/>
      <w:bookmarkEnd w:id="24"/>
      <w:bookmarkEnd w:id="25"/>
      <w:bookmarkEnd w:id="26"/>
      <w:bookmarkEnd w:id="27"/>
      <w:bookmarkEnd w:id="28"/>
      <w:bookmarkEnd w:id="29"/>
      <w:r>
        <w:rPr>
          <w:rFonts w:asciiTheme="majorHAnsi" w:eastAsia="MS Gothic" w:hAnsiTheme="majorHAnsi" w:cstheme="majorHAnsi"/>
          <w:b/>
          <w:bCs/>
          <w:noProof/>
          <w:color w:val="000000"/>
          <w:sz w:val="24"/>
          <w:szCs w:val="28"/>
          <w:lang w:val="fr"/>
        </w:rPr>
        <w:t xml:space="preserve"> </w:t>
      </w:r>
    </w:p>
    <w:p w14:paraId="01F77A00"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Le récipiendaire principal doit préciser la nature de l’audit et la catégorie dans laquelle il s’inscrit, en veillant à expliquer toute exception convenue.  Il présente sous forme de tableau toutes les entités concernées par l’audit, en spécifiant leur nom, leur statut juridique, la portée de l’audit, les principales activités financées, le montant des dépenses engagées pour la période considérée, ainsi que toute autre information utile devant être portée à l’attention de l’auditeur.</w:t>
      </w:r>
      <w:r>
        <w:rPr>
          <w:rFonts w:asciiTheme="majorHAnsi" w:eastAsia="Calibri" w:hAnsiTheme="majorHAnsi" w:cstheme="majorHAnsi"/>
          <w:lang w:val="fr"/>
        </w:rPr>
        <w:t xml:space="preserve">  </w:t>
      </w:r>
    </w:p>
    <w:p w14:paraId="0E0FF67E" w14:textId="77777777" w:rsidR="00382C10" w:rsidRPr="0003530F" w:rsidRDefault="00382C10" w:rsidP="00382C10">
      <w:pPr>
        <w:keepNext/>
        <w:keepLines/>
        <w:numPr>
          <w:ilvl w:val="0"/>
          <w:numId w:val="29"/>
        </w:numPr>
        <w:spacing w:before="240" w:after="120" w:line="240" w:lineRule="auto"/>
        <w:outlineLvl w:val="0"/>
        <w:rPr>
          <w:rFonts w:asciiTheme="majorHAnsi" w:eastAsia="MS Gothic" w:hAnsiTheme="majorHAnsi" w:cstheme="majorHAnsi"/>
          <w:b/>
          <w:bCs/>
          <w:noProof/>
          <w:color w:val="000000"/>
          <w:sz w:val="24"/>
          <w:szCs w:val="28"/>
          <w:lang w:val="fr-FR"/>
        </w:rPr>
      </w:pPr>
      <w:bookmarkStart w:id="30" w:name="_Toc20466634"/>
      <w:bookmarkStart w:id="31" w:name="_Toc19972440"/>
      <w:bookmarkStart w:id="32" w:name="_Toc19972274"/>
      <w:bookmarkStart w:id="33" w:name="_Toc19972108"/>
      <w:bookmarkStart w:id="34" w:name="_Toc19971942"/>
      <w:bookmarkStart w:id="35" w:name="_Toc19971776"/>
      <w:bookmarkStart w:id="36" w:name="_Toc19971610"/>
      <w:bookmarkStart w:id="37" w:name="_Toc5026411"/>
      <w:bookmarkStart w:id="38" w:name="_Toc103940821"/>
      <w:r>
        <w:rPr>
          <w:rFonts w:asciiTheme="majorHAnsi" w:eastAsia="MS Gothic" w:hAnsiTheme="majorHAnsi" w:cstheme="majorHAnsi"/>
          <w:b/>
          <w:bCs/>
          <w:noProof/>
          <w:color w:val="000000"/>
          <w:sz w:val="24"/>
          <w:szCs w:val="28"/>
          <w:lang w:val="fr"/>
        </w:rPr>
        <w:t>Contacts [à communiquer à l’auditeur de façon confidentielle] :</w:t>
      </w:r>
      <w:bookmarkEnd w:id="30"/>
      <w:bookmarkEnd w:id="31"/>
      <w:bookmarkEnd w:id="32"/>
      <w:bookmarkEnd w:id="33"/>
      <w:bookmarkEnd w:id="34"/>
      <w:bookmarkEnd w:id="35"/>
      <w:bookmarkEnd w:id="36"/>
      <w:bookmarkEnd w:id="37"/>
      <w:bookmarkEnd w:id="38"/>
      <w:r>
        <w:rPr>
          <w:rFonts w:asciiTheme="majorHAnsi" w:eastAsia="MS Gothic" w:hAnsiTheme="majorHAnsi" w:cstheme="majorHAnsi"/>
          <w:b/>
          <w:bCs/>
          <w:noProof/>
          <w:color w:val="000000"/>
          <w:sz w:val="24"/>
          <w:szCs w:val="28"/>
          <w:lang w:val="fr"/>
        </w:rPr>
        <w:t xml:space="preserve"> </w:t>
      </w:r>
    </w:p>
    <w:p w14:paraId="157004DD"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Le récipiendaire principal doit fournir une liste des contacts importants pour la conduite de l’audit, y compris leurs coordonnées complètes.  Cette liste comprend au minimum le directeur général et le directeur financier du récipiendaire principal, le chef de programme, le responsable financier de la subvention, ainsi que les directeurs, les chefs de programme et les responsables financiers des sous-récipiendaires.</w:t>
      </w:r>
    </w:p>
    <w:p w14:paraId="0577488A" w14:textId="77777777" w:rsidR="00382C10" w:rsidRPr="00382C10"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rPr>
      </w:pPr>
      <w:bookmarkStart w:id="39" w:name="_Toc5026412"/>
      <w:bookmarkStart w:id="40" w:name="_Toc19971611"/>
      <w:bookmarkStart w:id="41" w:name="_Toc19971777"/>
      <w:bookmarkStart w:id="42" w:name="_Toc19971943"/>
      <w:bookmarkStart w:id="43" w:name="_Toc19972109"/>
      <w:bookmarkStart w:id="44" w:name="_Toc19972275"/>
      <w:bookmarkStart w:id="45" w:name="_Toc19972441"/>
      <w:bookmarkStart w:id="46" w:name="_Toc20466635"/>
      <w:bookmarkStart w:id="47" w:name="_Toc103940822"/>
      <w:r>
        <w:rPr>
          <w:rFonts w:asciiTheme="majorHAnsi" w:eastAsia="MS Gothic" w:hAnsiTheme="majorHAnsi" w:cstheme="majorHAnsi"/>
          <w:b/>
          <w:bCs/>
          <w:color w:val="000000"/>
          <w:sz w:val="24"/>
          <w:szCs w:val="28"/>
          <w:lang w:val="fr"/>
        </w:rPr>
        <w:t>Objectifs de l’audit</w:t>
      </w:r>
      <w:bookmarkEnd w:id="39"/>
      <w:bookmarkEnd w:id="40"/>
      <w:bookmarkEnd w:id="41"/>
      <w:bookmarkEnd w:id="42"/>
      <w:bookmarkEnd w:id="43"/>
      <w:bookmarkEnd w:id="44"/>
      <w:bookmarkEnd w:id="45"/>
      <w:bookmarkEnd w:id="46"/>
      <w:bookmarkEnd w:id="47"/>
    </w:p>
    <w:p w14:paraId="4C2676BA" w14:textId="66FBACB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w:t>
      </w:r>
      <w:r>
        <w:rPr>
          <w:rFonts w:asciiTheme="majorHAnsi" w:eastAsia="Calibri" w:hAnsiTheme="majorHAnsi" w:cstheme="majorHAnsi"/>
          <w:b/>
          <w:bCs/>
          <w:noProof/>
          <w:lang w:val="fr"/>
        </w:rPr>
        <w:t>objectif de l’audit financier</w:t>
      </w:r>
      <w:r>
        <w:rPr>
          <w:rFonts w:asciiTheme="majorHAnsi" w:eastAsia="Calibri" w:hAnsiTheme="majorHAnsi" w:cstheme="majorHAnsi"/>
          <w:noProof/>
          <w:lang w:val="fr"/>
        </w:rPr>
        <w:t xml:space="preserve"> </w:t>
      </w:r>
      <w:r>
        <w:rPr>
          <w:rFonts w:asciiTheme="majorHAnsi" w:eastAsia="Calibri" w:hAnsiTheme="majorHAnsi" w:cstheme="majorHAnsi"/>
          <w:lang w:val="fr"/>
        </w:rPr>
        <w:t xml:space="preserve">est de permettre à l’auditeur d’exprimer une opinion professionnelle indépendante sur chacun des éléments suivants : </w:t>
      </w:r>
    </w:p>
    <w:p w14:paraId="667BB53B" w14:textId="77777777" w:rsidR="003E6735" w:rsidRPr="0003530F" w:rsidRDefault="003E6735" w:rsidP="003E6735">
      <w:pPr>
        <w:numPr>
          <w:ilvl w:val="0"/>
          <w:numId w:val="31"/>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les états financiers des subventions à des fins spéciales préparés par les récipiendaires principaux ;</w:t>
      </w:r>
    </w:p>
    <w:p w14:paraId="32E48262" w14:textId="15B18EEF" w:rsidR="003E6735" w:rsidRPr="0003530F" w:rsidRDefault="003E6735" w:rsidP="003E6735">
      <w:pPr>
        <w:numPr>
          <w:ilvl w:val="0"/>
          <w:numId w:val="31"/>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l’utilisation par le récipiendaire principal des fonds de subvention aux fins définies dans les dispositions de l’accord de subvention et </w:t>
      </w:r>
      <w:bookmarkStart w:id="48" w:name="_Hlk99974864"/>
      <w:r>
        <w:rPr>
          <w:rFonts w:asciiTheme="majorHAnsi" w:eastAsia="Calibri" w:hAnsiTheme="majorHAnsi" w:cstheme="majorHAnsi"/>
          <w:lang w:val="fr"/>
        </w:rPr>
        <w:t>conformément aux lois</w:t>
      </w:r>
      <w:r>
        <w:rPr>
          <w:rStyle w:val="FootnoteReference"/>
          <w:rFonts w:asciiTheme="majorHAnsi" w:eastAsia="Calibri" w:hAnsiTheme="majorHAnsi" w:cstheme="majorHAnsi"/>
          <w:lang w:val="fr"/>
        </w:rPr>
        <w:footnoteReference w:id="2"/>
      </w:r>
      <w:r>
        <w:rPr>
          <w:rFonts w:asciiTheme="majorHAnsi" w:eastAsia="Calibri" w:hAnsiTheme="majorHAnsi" w:cstheme="majorHAnsi"/>
          <w:lang w:val="fr"/>
        </w:rPr>
        <w:t xml:space="preserve"> et aux règlements</w:t>
      </w:r>
      <w:r>
        <w:rPr>
          <w:rStyle w:val="FootnoteReference"/>
          <w:rFonts w:asciiTheme="majorHAnsi" w:eastAsia="Calibri" w:hAnsiTheme="majorHAnsi" w:cstheme="majorHAnsi"/>
          <w:lang w:val="fr"/>
        </w:rPr>
        <w:footnoteReference w:id="3"/>
      </w:r>
      <w:bookmarkEnd w:id="48"/>
      <w:r>
        <w:rPr>
          <w:rFonts w:asciiTheme="majorHAnsi" w:eastAsia="Calibri" w:hAnsiTheme="majorHAnsi" w:cstheme="majorHAnsi"/>
          <w:lang w:val="fr"/>
        </w:rPr>
        <w:t xml:space="preserve"> locaux applicables. </w:t>
      </w:r>
    </w:p>
    <w:p w14:paraId="7C9E6B11" w14:textId="0E976D67" w:rsidR="003E6735" w:rsidRDefault="00382C10" w:rsidP="00382C10">
      <w:pPr>
        <w:numPr>
          <w:ilvl w:val="0"/>
          <w:numId w:val="36"/>
        </w:numPr>
        <w:spacing w:before="0" w:after="120" w:line="240" w:lineRule="auto"/>
        <w:jc w:val="both"/>
        <w:rPr>
          <w:rFonts w:asciiTheme="majorHAnsi" w:eastAsia="Calibri" w:hAnsiTheme="majorHAnsi" w:cstheme="majorHAnsi"/>
        </w:rPr>
      </w:pPr>
      <w:bookmarkStart w:id="49" w:name="_Hlk99963659"/>
      <w:r>
        <w:rPr>
          <w:rFonts w:asciiTheme="majorHAnsi" w:hAnsiTheme="majorHAnsi"/>
          <w:noProof/>
          <w:lang w:val="fr"/>
        </w:rPr>
        <w:t>L’</w:t>
      </w:r>
      <w:r>
        <w:rPr>
          <w:rFonts w:asciiTheme="majorHAnsi" w:hAnsiTheme="majorHAnsi"/>
          <w:b/>
          <w:bCs/>
          <w:noProof/>
          <w:lang w:val="fr"/>
        </w:rPr>
        <w:t>objectif de l’audit est aussi</w:t>
      </w:r>
      <w:r>
        <w:rPr>
          <w:rFonts w:asciiTheme="majorHAnsi" w:hAnsiTheme="majorHAnsi"/>
          <w:noProof/>
          <w:lang w:val="fr"/>
        </w:rPr>
        <w:t xml:space="preserve"> de</w:t>
      </w:r>
      <w:r>
        <w:rPr>
          <w:rFonts w:asciiTheme="majorHAnsi" w:hAnsiTheme="majorHAnsi"/>
          <w:lang w:val="fr"/>
        </w:rPr>
        <w:t xml:space="preserve"> </w:t>
      </w:r>
      <w:r>
        <w:rPr>
          <w:lang w:val="fr"/>
        </w:rPr>
        <w:t xml:space="preserve">formuler des observations sur </w:t>
      </w:r>
      <w:r>
        <w:rPr>
          <w:noProof/>
          <w:lang w:val="fr"/>
        </w:rPr>
        <w:t>le caractère adéquat</w:t>
      </w:r>
      <w:r>
        <w:rPr>
          <w:lang w:val="fr"/>
        </w:rPr>
        <w:t xml:space="preserve"> du cadre de contrôle interne des maîtres d’œuvre et de rendre compte des insuffisances détectées. L’audit portera aussi sur ce qui suit, si nécessaire </w:t>
      </w:r>
      <w:r>
        <w:rPr>
          <w:rFonts w:asciiTheme="majorHAnsi" w:hAnsiTheme="majorHAnsi"/>
          <w:lang w:val="fr"/>
        </w:rPr>
        <w:t>:</w:t>
      </w:r>
    </w:p>
    <w:p w14:paraId="3380C0FF" w14:textId="77777777" w:rsidR="003E6735" w:rsidRPr="0003530F" w:rsidRDefault="003E6735" w:rsidP="00A30A41">
      <w:pPr>
        <w:numPr>
          <w:ilvl w:val="0"/>
          <w:numId w:val="31"/>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lastRenderedPageBreak/>
        <w:t xml:space="preserve">les contrôles internes dans l’ensemble, y compris les contrôles informatiques généraux ; </w:t>
      </w:r>
    </w:p>
    <w:p w14:paraId="6D78BF77" w14:textId="77777777" w:rsidR="003E6735" w:rsidRPr="0003530F" w:rsidRDefault="003E6735" w:rsidP="00A30A41">
      <w:pPr>
        <w:numPr>
          <w:ilvl w:val="0"/>
          <w:numId w:val="31"/>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les contrôles des agents tiers</w:t>
      </w:r>
      <w:r>
        <w:rPr>
          <w:rFonts w:asciiTheme="majorHAnsi" w:eastAsia="Calibri" w:hAnsiTheme="majorHAnsi" w:cstheme="majorHAnsi"/>
          <w:lang w:val="fr"/>
        </w:rPr>
        <w:footnoteReference w:id="4"/>
      </w:r>
      <w:r>
        <w:rPr>
          <w:rFonts w:asciiTheme="majorHAnsi" w:eastAsia="Calibri" w:hAnsiTheme="majorHAnsi" w:cstheme="majorHAnsi"/>
          <w:lang w:val="fr"/>
        </w:rPr>
        <w:t xml:space="preserve"> au service du récipiendaire principal ou du Fonds mondial, notamment l’examen du contenu et de l’observance des conditions générales qui régissent leurs activités.</w:t>
      </w:r>
    </w:p>
    <w:bookmarkEnd w:id="49"/>
    <w:p w14:paraId="6AE4D89F" w14:textId="109E2D6C" w:rsidR="00382C10" w:rsidRPr="0003530F" w:rsidRDefault="00382C10" w:rsidP="00A30A41">
      <w:pPr>
        <w:spacing w:before="0" w:after="120" w:line="240" w:lineRule="auto"/>
        <w:ind w:left="360"/>
        <w:jc w:val="both"/>
        <w:rPr>
          <w:rFonts w:asciiTheme="majorHAnsi" w:eastAsia="Calibri" w:hAnsiTheme="majorHAnsi" w:cstheme="majorHAnsi"/>
          <w:lang w:val="fr-FR"/>
        </w:rPr>
      </w:pPr>
      <w:r>
        <w:rPr>
          <w:rFonts w:asciiTheme="majorHAnsi" w:eastAsia="Calibri" w:hAnsiTheme="majorHAnsi" w:cstheme="majorHAnsi"/>
          <w:lang w:val="fr"/>
        </w:rPr>
        <w:t xml:space="preserve">L’auditeur </w:t>
      </w:r>
      <w:r>
        <w:rPr>
          <w:rFonts w:asciiTheme="majorHAnsi" w:eastAsia="Calibri" w:hAnsiTheme="majorHAnsi" w:cstheme="majorHAnsi"/>
          <w:b/>
          <w:bCs/>
          <w:lang w:val="fr"/>
        </w:rPr>
        <w:t>doit</w:t>
      </w:r>
      <w:r>
        <w:rPr>
          <w:rFonts w:asciiTheme="majorHAnsi" w:eastAsia="Calibri" w:hAnsiTheme="majorHAnsi" w:cstheme="majorHAnsi"/>
          <w:lang w:val="fr"/>
        </w:rPr>
        <w:t xml:space="preserve"> examiner le cadre de contrôle interne du récipiendaire principal et des sous-récipiendaires clés identifiés par l’équipe de pays du Fonds mondial en consultation avec le récipiendaire principal. Cet exercice doit couvrir les contrôles liés à tout agent tiers responsable d’un processus de mise en œuvre de la subvention</w:t>
      </w:r>
      <w:r>
        <w:rPr>
          <w:rFonts w:asciiTheme="majorHAnsi" w:eastAsia="Calibri" w:hAnsiTheme="majorHAnsi" w:cstheme="majorHAnsi"/>
          <w:vertAlign w:val="superscript"/>
          <w:lang w:val="fr"/>
        </w:rPr>
        <w:footnoteReference w:id="5"/>
      </w:r>
      <w:r>
        <w:rPr>
          <w:rFonts w:asciiTheme="majorHAnsi" w:eastAsia="Calibri" w:hAnsiTheme="majorHAnsi" w:cstheme="majorHAnsi"/>
          <w:lang w:val="fr"/>
        </w:rPr>
        <w:t>, notamment l’examen du contenu et de l’observance des conditions générales qui régissent ses activités.</w:t>
      </w:r>
    </w:p>
    <w:p w14:paraId="685749F0" w14:textId="77777777" w:rsidR="00382C10" w:rsidRPr="0003530F"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fr-FR"/>
        </w:rPr>
      </w:pPr>
      <w:bookmarkStart w:id="50" w:name="_Toc20466636"/>
      <w:bookmarkStart w:id="51" w:name="_Toc19972442"/>
      <w:bookmarkStart w:id="52" w:name="_Toc19972276"/>
      <w:bookmarkStart w:id="53" w:name="_Toc19972110"/>
      <w:bookmarkStart w:id="54" w:name="_Toc19971944"/>
      <w:bookmarkStart w:id="55" w:name="_Toc19971778"/>
      <w:bookmarkStart w:id="56" w:name="_Toc19971612"/>
      <w:bookmarkStart w:id="57" w:name="_Toc5026413"/>
      <w:bookmarkStart w:id="58" w:name="_Toc103940823"/>
      <w:r>
        <w:rPr>
          <w:rFonts w:asciiTheme="majorHAnsi" w:eastAsia="MS Gothic" w:hAnsiTheme="majorHAnsi" w:cstheme="majorHAnsi"/>
          <w:b/>
          <w:bCs/>
          <w:noProof/>
          <w:color w:val="000000"/>
          <w:sz w:val="24"/>
          <w:szCs w:val="28"/>
          <w:lang w:val="fr"/>
        </w:rPr>
        <w:t>Responsabilité de la préparation des états financiers des subventions à des fins spéciales.</w:t>
      </w:r>
      <w:bookmarkEnd w:id="50"/>
      <w:bookmarkEnd w:id="51"/>
      <w:bookmarkEnd w:id="52"/>
      <w:bookmarkEnd w:id="53"/>
      <w:bookmarkEnd w:id="54"/>
      <w:bookmarkEnd w:id="55"/>
      <w:bookmarkEnd w:id="56"/>
      <w:bookmarkEnd w:id="57"/>
      <w:bookmarkEnd w:id="58"/>
      <w:r>
        <w:rPr>
          <w:rFonts w:asciiTheme="majorHAnsi" w:eastAsia="MS Gothic" w:hAnsiTheme="majorHAnsi" w:cstheme="majorHAnsi"/>
          <w:b/>
          <w:bCs/>
          <w:color w:val="000000"/>
          <w:sz w:val="24"/>
          <w:szCs w:val="28"/>
          <w:lang w:val="fr"/>
        </w:rPr>
        <w:t xml:space="preserve"> </w:t>
      </w:r>
    </w:p>
    <w:p w14:paraId="77BC77E4" w14:textId="7DCF91A1"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 responsabilité de la préparation des états financiers des subventions à des fins spéciales</w:t>
      </w:r>
      <w:r>
        <w:rPr>
          <w:rFonts w:asciiTheme="majorHAnsi" w:eastAsia="Calibri" w:hAnsiTheme="majorHAnsi" w:cstheme="majorHAnsi"/>
          <w:noProof/>
          <w:lang w:val="fr"/>
        </w:rPr>
        <w:t xml:space="preserve"> échoit au récipiendaire principal. Celui-ci doit s’assurer que l’information </w:t>
      </w:r>
      <w:r w:rsidR="00D64594">
        <w:rPr>
          <w:rFonts w:asciiTheme="majorHAnsi" w:eastAsia="Calibri" w:hAnsiTheme="majorHAnsi" w:cstheme="majorHAnsi"/>
          <w:noProof/>
          <w:lang w:val="fr"/>
        </w:rPr>
        <w:t xml:space="preserve">des </w:t>
      </w:r>
      <w:r>
        <w:rPr>
          <w:rFonts w:asciiTheme="majorHAnsi" w:eastAsia="Calibri" w:hAnsiTheme="majorHAnsi" w:cstheme="majorHAnsi"/>
          <w:noProof/>
          <w:lang w:val="fr"/>
        </w:rPr>
        <w:t>sous-récipiendaire</w:t>
      </w:r>
      <w:r w:rsidR="00D64594">
        <w:rPr>
          <w:rFonts w:asciiTheme="majorHAnsi" w:eastAsia="Calibri" w:hAnsiTheme="majorHAnsi" w:cstheme="majorHAnsi"/>
          <w:noProof/>
          <w:lang w:val="fr"/>
        </w:rPr>
        <w:t>s</w:t>
      </w:r>
      <w:r>
        <w:rPr>
          <w:rFonts w:asciiTheme="majorHAnsi" w:eastAsia="Calibri" w:hAnsiTheme="majorHAnsi" w:cstheme="majorHAnsi"/>
          <w:noProof/>
          <w:lang w:val="fr"/>
        </w:rPr>
        <w:t xml:space="preserve"> est présentée suivant la méthode que le récipiendaire principal a employée pour préparer les états financiers des subventions à des fins spéciales. </w:t>
      </w:r>
    </w:p>
    <w:p w14:paraId="145061C3" w14:textId="77777777" w:rsidR="00382C10" w:rsidRPr="0003530F"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fr-FR"/>
        </w:rPr>
      </w:pPr>
      <w:bookmarkStart w:id="59" w:name="_Toc20466637"/>
      <w:bookmarkStart w:id="60" w:name="_Toc19972443"/>
      <w:bookmarkStart w:id="61" w:name="_Toc19972277"/>
      <w:bookmarkStart w:id="62" w:name="_Toc19972111"/>
      <w:bookmarkStart w:id="63" w:name="_Toc19971945"/>
      <w:bookmarkStart w:id="64" w:name="_Toc19971779"/>
      <w:bookmarkStart w:id="65" w:name="_Toc19971613"/>
      <w:bookmarkStart w:id="66" w:name="_Toc5026414"/>
      <w:bookmarkStart w:id="67" w:name="_Toc103940824"/>
      <w:r>
        <w:rPr>
          <w:rFonts w:asciiTheme="majorHAnsi" w:eastAsia="MS Gothic" w:hAnsiTheme="majorHAnsi" w:cstheme="majorHAnsi"/>
          <w:b/>
          <w:bCs/>
          <w:color w:val="000000"/>
          <w:sz w:val="24"/>
          <w:szCs w:val="28"/>
          <w:lang w:val="fr"/>
        </w:rPr>
        <w:t>États financiers des subventions à des fins spéciales.</w:t>
      </w:r>
      <w:bookmarkEnd w:id="59"/>
      <w:bookmarkEnd w:id="60"/>
      <w:bookmarkEnd w:id="61"/>
      <w:bookmarkEnd w:id="62"/>
      <w:bookmarkEnd w:id="63"/>
      <w:bookmarkEnd w:id="64"/>
      <w:bookmarkEnd w:id="65"/>
      <w:bookmarkEnd w:id="66"/>
      <w:bookmarkEnd w:id="67"/>
      <w:r>
        <w:rPr>
          <w:rFonts w:asciiTheme="majorHAnsi" w:eastAsia="MS Gothic" w:hAnsiTheme="majorHAnsi" w:cstheme="majorHAnsi"/>
          <w:b/>
          <w:bCs/>
          <w:color w:val="000000"/>
          <w:sz w:val="24"/>
          <w:szCs w:val="28"/>
          <w:lang w:val="fr"/>
        </w:rPr>
        <w:t xml:space="preserve"> </w:t>
      </w:r>
    </w:p>
    <w:p w14:paraId="6AC33A19" w14:textId="23E57B62"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lang w:val="fr"/>
        </w:rPr>
        <w:t xml:space="preserve">Les </w:t>
      </w:r>
      <w:r>
        <w:rPr>
          <w:rFonts w:asciiTheme="majorHAnsi" w:eastAsia="Calibri" w:hAnsiTheme="majorHAnsi" w:cstheme="majorHAnsi"/>
          <w:noProof/>
          <w:lang w:val="fr"/>
        </w:rPr>
        <w:t>états financiers des subventions à des fins spéciales</w:t>
      </w:r>
      <w:r>
        <w:rPr>
          <w:rFonts w:asciiTheme="majorHAnsi" w:eastAsia="Calibri" w:hAnsiTheme="majorHAnsi" w:cstheme="majorHAnsi"/>
          <w:lang w:val="fr"/>
        </w:rPr>
        <w:t xml:space="preserve">, dans la devise de l’accord de subvention, </w:t>
      </w:r>
      <w:r>
        <w:rPr>
          <w:rFonts w:asciiTheme="majorHAnsi" w:eastAsia="Calibri" w:hAnsiTheme="majorHAnsi" w:cstheme="majorHAnsi"/>
          <w:noProof/>
          <w:lang w:val="fr"/>
        </w:rPr>
        <w:t>doivent comprendre les éléments suivants.</w:t>
      </w:r>
    </w:p>
    <w:p w14:paraId="249C71FB" w14:textId="35BB1154" w:rsidR="00382C10" w:rsidRPr="0003530F" w:rsidRDefault="00382C10" w:rsidP="00382C10">
      <w:pPr>
        <w:numPr>
          <w:ilvl w:val="0"/>
          <w:numId w:val="38"/>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Dans la devise de l’accord de subvention, un état des revenus et des dépenses indiquant les fonds reçus du Fonds mondial, tout autre revenu reçu et toutes les dépenses engagées au titre des subventions</w:t>
      </w:r>
      <w:r>
        <w:rPr>
          <w:rFonts w:asciiTheme="majorHAnsi" w:eastAsia="Calibri" w:hAnsiTheme="majorHAnsi" w:cstheme="majorHAnsi"/>
          <w:vertAlign w:val="superscript"/>
          <w:lang w:val="fr"/>
        </w:rPr>
        <w:footnoteReference w:id="6"/>
      </w:r>
      <w:r>
        <w:rPr>
          <w:rFonts w:asciiTheme="majorHAnsi" w:eastAsia="Calibri" w:hAnsiTheme="majorHAnsi" w:cstheme="majorHAnsi"/>
          <w:lang w:val="fr"/>
        </w:rPr>
        <w:t>. Les dépenses engagées au titre des subventions doivent être rapportées au budget</w:t>
      </w:r>
      <w:r>
        <w:rPr>
          <w:rStyle w:val="FootnoteReference"/>
          <w:rFonts w:asciiTheme="majorHAnsi" w:eastAsia="Calibri" w:hAnsiTheme="majorHAnsi" w:cstheme="majorHAnsi"/>
          <w:lang w:val="fr"/>
        </w:rPr>
        <w:footnoteReference w:id="7"/>
      </w:r>
      <w:r>
        <w:rPr>
          <w:rFonts w:asciiTheme="majorHAnsi" w:eastAsia="Calibri" w:hAnsiTheme="majorHAnsi" w:cstheme="majorHAnsi"/>
          <w:lang w:val="fr"/>
        </w:rPr>
        <w:t xml:space="preserve"> dans le format annexé aux directives.</w:t>
      </w:r>
    </w:p>
    <w:p w14:paraId="20CD7F9B" w14:textId="59D345C4" w:rsidR="00382C10" w:rsidRPr="0003530F" w:rsidRDefault="00382C10" w:rsidP="00382C10">
      <w:pPr>
        <w:numPr>
          <w:ilvl w:val="0"/>
          <w:numId w:val="38"/>
        </w:numPr>
        <w:spacing w:before="0" w:after="120" w:line="240" w:lineRule="auto"/>
        <w:jc w:val="both"/>
        <w:rPr>
          <w:rFonts w:asciiTheme="majorHAnsi" w:eastAsia="MS Mincho" w:hAnsiTheme="majorHAnsi" w:cstheme="majorHAnsi"/>
          <w:noProof/>
          <w:szCs w:val="24"/>
          <w:lang w:val="fr-FR"/>
        </w:rPr>
      </w:pPr>
      <w:r>
        <w:rPr>
          <w:rFonts w:asciiTheme="majorHAnsi" w:hAnsiTheme="majorHAnsi" w:cstheme="majorHAnsi"/>
          <w:lang w:val="fr"/>
        </w:rPr>
        <w:t>Toute autre note</w:t>
      </w:r>
      <w:r>
        <w:rPr>
          <w:rStyle w:val="FootnoteReference"/>
          <w:rFonts w:asciiTheme="majorHAnsi" w:eastAsia="Calibri" w:hAnsiTheme="majorHAnsi" w:cstheme="majorHAnsi"/>
          <w:lang w:val="fr"/>
        </w:rPr>
        <w:footnoteReference w:id="8"/>
      </w:r>
      <w:r>
        <w:rPr>
          <w:rFonts w:asciiTheme="majorHAnsi" w:hAnsiTheme="majorHAnsi" w:cstheme="majorHAnsi"/>
          <w:lang w:val="fr"/>
        </w:rPr>
        <w:t xml:space="preserve"> applicable, comprenant au minimum la ventilation des éléments suivants : [à définir par l’</w:t>
      </w:r>
      <w:r>
        <w:rPr>
          <w:rFonts w:asciiTheme="majorHAnsi" w:hAnsiTheme="majorHAnsi" w:cstheme="majorHAnsi"/>
          <w:i/>
          <w:iCs/>
          <w:noProof/>
          <w:szCs w:val="24"/>
          <w:lang w:val="fr"/>
        </w:rPr>
        <w:t>équipe de pays/le récipiendaire principal si nécessaire]</w:t>
      </w:r>
      <w:r>
        <w:rPr>
          <w:rFonts w:asciiTheme="majorHAnsi" w:hAnsiTheme="majorHAnsi" w:cstheme="majorHAnsi"/>
          <w:i/>
          <w:iCs/>
          <w:noProof/>
          <w:szCs w:val="24"/>
          <w:vertAlign w:val="superscript"/>
          <w:lang w:val="fr"/>
        </w:rPr>
        <w:footnoteReference w:id="9"/>
      </w:r>
      <w:r>
        <w:rPr>
          <w:rFonts w:asciiTheme="majorHAnsi" w:hAnsiTheme="majorHAnsi" w:cstheme="majorHAnsi"/>
          <w:noProof/>
          <w:szCs w:val="24"/>
          <w:lang w:val="fr"/>
        </w:rPr>
        <w:t>.</w:t>
      </w:r>
    </w:p>
    <w:p w14:paraId="06A5137C" w14:textId="77777777" w:rsidR="00382C10" w:rsidRPr="0003530F" w:rsidRDefault="00382C10" w:rsidP="00382C10">
      <w:pPr>
        <w:numPr>
          <w:ilvl w:val="0"/>
          <w:numId w:val="38"/>
        </w:numPr>
        <w:spacing w:before="0" w:after="120" w:line="240" w:lineRule="auto"/>
        <w:jc w:val="both"/>
        <w:rPr>
          <w:rFonts w:asciiTheme="majorHAnsi" w:eastAsia="MS Mincho" w:hAnsiTheme="majorHAnsi" w:cstheme="majorHAnsi"/>
          <w:noProof/>
          <w:szCs w:val="24"/>
          <w:lang w:val="fr-FR"/>
        </w:rPr>
      </w:pPr>
      <w:r>
        <w:rPr>
          <w:rFonts w:asciiTheme="majorHAnsi" w:eastAsia="MS Mincho" w:hAnsiTheme="majorHAnsi" w:cstheme="majorHAnsi"/>
          <w:noProof/>
          <w:szCs w:val="24"/>
          <w:lang w:val="fr"/>
        </w:rPr>
        <w:t>Les compléments d’information sur les avances et les immobilisations, y compris :</w:t>
      </w:r>
      <w:r>
        <w:rPr>
          <w:rFonts w:asciiTheme="majorHAnsi" w:eastAsia="MS Mincho" w:hAnsiTheme="majorHAnsi" w:cstheme="majorHAnsi"/>
          <w:szCs w:val="24"/>
          <w:lang w:val="fr"/>
        </w:rPr>
        <w:t xml:space="preserve"> </w:t>
      </w:r>
    </w:p>
    <w:p w14:paraId="05E93C0A" w14:textId="2C8BB356" w:rsidR="00382C10" w:rsidRPr="0003530F" w:rsidRDefault="005C0A4E" w:rsidP="00382C10">
      <w:pPr>
        <w:numPr>
          <w:ilvl w:val="1"/>
          <w:numId w:val="33"/>
        </w:numPr>
        <w:spacing w:before="0" w:after="120" w:line="240" w:lineRule="auto"/>
        <w:jc w:val="both"/>
        <w:rPr>
          <w:rFonts w:asciiTheme="majorHAnsi" w:eastAsia="Calibri" w:hAnsiTheme="majorHAnsi" w:cstheme="majorHAnsi"/>
          <w:lang w:val="fr-FR"/>
        </w:rPr>
      </w:pPr>
      <w:bookmarkStart w:id="68" w:name="_Hlk5026220"/>
      <w:r>
        <w:rPr>
          <w:rFonts w:asciiTheme="majorHAnsi" w:eastAsia="Calibri" w:hAnsiTheme="majorHAnsi" w:cstheme="majorHAnsi"/>
          <w:lang w:val="fr"/>
        </w:rPr>
        <w:t>un relevé indiquant les avances du sous-récipiendaire et le rapprochement du montant total des fonds de subvention avancés par le récipiendaire principal aux sous-récipiendaires et le solde de trésorerie de la subvention avec les dépenses enregistrées par le sous-récipiendaire et les soldes de trésorerie du récipiendaire principal/sous-récipiendaires à la fin de la période de communication de l’information ;</w:t>
      </w:r>
    </w:p>
    <w:p w14:paraId="5FB103C1" w14:textId="5145092C" w:rsidR="00382C10" w:rsidRPr="0003530F" w:rsidRDefault="00C60AEE" w:rsidP="00382C10">
      <w:pPr>
        <w:numPr>
          <w:ilvl w:val="1"/>
          <w:numId w:val="33"/>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l’état récapitulatif des actifs montrant les immobilisations acquises avec les fonds de la subvention. Cet état récapitulatif doit indiquer les actifs reportés des périodes précédentes (soldes d’ouverture), ainsi que les ajouts, les cessions et les radiations de la période </w:t>
      </w:r>
      <w:r>
        <w:rPr>
          <w:rFonts w:asciiTheme="majorHAnsi" w:eastAsia="Calibri" w:hAnsiTheme="majorHAnsi" w:cstheme="majorHAnsi"/>
          <w:noProof/>
          <w:lang w:val="fr"/>
        </w:rPr>
        <w:t>faisant l’objet de l’audit</w:t>
      </w:r>
      <w:r>
        <w:rPr>
          <w:rFonts w:asciiTheme="majorHAnsi" w:eastAsia="Calibri" w:hAnsiTheme="majorHAnsi" w:cstheme="majorHAnsi"/>
          <w:lang w:val="fr"/>
        </w:rPr>
        <w:t xml:space="preserve"> et le solde de clôture</w:t>
      </w:r>
      <w:r>
        <w:rPr>
          <w:rFonts w:asciiTheme="majorHAnsi" w:eastAsia="Calibri" w:hAnsiTheme="majorHAnsi" w:cstheme="majorHAnsi"/>
          <w:vertAlign w:val="superscript"/>
          <w:lang w:val="fr"/>
        </w:rPr>
        <w:footnoteReference w:id="10"/>
      </w:r>
      <w:r>
        <w:rPr>
          <w:rFonts w:asciiTheme="majorHAnsi" w:eastAsia="Calibri" w:hAnsiTheme="majorHAnsi" w:cstheme="majorHAnsi"/>
          <w:lang w:val="fr"/>
        </w:rPr>
        <w:t> ;</w:t>
      </w:r>
    </w:p>
    <w:p w14:paraId="24E9DED4" w14:textId="7F9D64A9" w:rsidR="00382C10" w:rsidRPr="0003530F" w:rsidRDefault="00382C10" w:rsidP="00382C10">
      <w:pPr>
        <w:numPr>
          <w:ilvl w:val="1"/>
          <w:numId w:val="33"/>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lastRenderedPageBreak/>
        <w:t>les notes afférentes aux déclarations supplémentaires. Ces notes permettent à l’utilisateur de mieux comprendre les informations contenues dans l’état des revenus et des dépenses et les états supplémentaires (hypothèses importantes, estimations comptables, informations associées, etc.), ainsi que les déclarations éventuelles relatives aux taxes à recouvrer</w:t>
      </w:r>
      <w:r>
        <w:rPr>
          <w:rFonts w:asciiTheme="majorHAnsi" w:eastAsia="Calibri" w:hAnsiTheme="majorHAnsi" w:cstheme="majorHAnsi"/>
          <w:vertAlign w:val="superscript"/>
          <w:lang w:val="fr"/>
        </w:rPr>
        <w:footnoteReference w:id="11"/>
      </w:r>
      <w:r>
        <w:rPr>
          <w:rFonts w:asciiTheme="majorHAnsi" w:eastAsia="Calibri" w:hAnsiTheme="majorHAnsi" w:cstheme="majorHAnsi"/>
          <w:lang w:val="fr"/>
        </w:rPr>
        <w:t>.</w:t>
      </w:r>
    </w:p>
    <w:p w14:paraId="3B162B14" w14:textId="3D316D43" w:rsidR="00382C10" w:rsidRPr="0003530F"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fr-FR"/>
        </w:rPr>
      </w:pPr>
      <w:bookmarkStart w:id="69" w:name="_Toc5026415"/>
      <w:bookmarkStart w:id="70" w:name="_Toc19971614"/>
      <w:bookmarkStart w:id="71" w:name="_Toc19971780"/>
      <w:bookmarkStart w:id="72" w:name="_Toc19971946"/>
      <w:bookmarkStart w:id="73" w:name="_Toc19972112"/>
      <w:bookmarkStart w:id="74" w:name="_Toc19972278"/>
      <w:bookmarkStart w:id="75" w:name="_Toc19972444"/>
      <w:bookmarkStart w:id="76" w:name="_Toc20466638"/>
      <w:bookmarkStart w:id="77" w:name="_Toc103940825"/>
      <w:bookmarkEnd w:id="68"/>
      <w:r>
        <w:rPr>
          <w:rFonts w:asciiTheme="majorHAnsi" w:eastAsia="MS Gothic" w:hAnsiTheme="majorHAnsi" w:cstheme="majorHAnsi"/>
          <w:b/>
          <w:bCs/>
          <w:color w:val="000000"/>
          <w:sz w:val="24"/>
          <w:szCs w:val="28"/>
          <w:lang w:val="fr"/>
        </w:rPr>
        <w:t>Mise à disposition des documents et des installations</w:t>
      </w:r>
      <w:bookmarkEnd w:id="69"/>
      <w:bookmarkEnd w:id="70"/>
      <w:bookmarkEnd w:id="71"/>
      <w:bookmarkEnd w:id="72"/>
      <w:bookmarkEnd w:id="73"/>
      <w:bookmarkEnd w:id="74"/>
      <w:bookmarkEnd w:id="75"/>
      <w:bookmarkEnd w:id="76"/>
      <w:bookmarkEnd w:id="77"/>
    </w:p>
    <w:p w14:paraId="5C7F83B8"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 xml:space="preserve">En ce qui concerne </w:t>
      </w:r>
      <w:r>
        <w:rPr>
          <w:rFonts w:asciiTheme="majorHAnsi" w:eastAsia="Calibri" w:hAnsiTheme="majorHAnsi" w:cstheme="majorHAnsi"/>
          <w:lang w:val="fr"/>
        </w:rPr>
        <w:t xml:space="preserve">chaque subvention, le récipiendaire principal </w:t>
      </w:r>
      <w:r>
        <w:rPr>
          <w:rFonts w:asciiTheme="majorHAnsi" w:eastAsia="Calibri" w:hAnsiTheme="majorHAnsi" w:cstheme="majorHAnsi"/>
          <w:noProof/>
          <w:lang w:val="fr"/>
        </w:rPr>
        <w:t xml:space="preserve">donnera à l’auditeur accès à tous les livres et registres relatifs à la subvention, à la demande de l’auditeur, y compris une liste de tous les locaux clés du récipiendaire principal et du </w:t>
      </w:r>
      <w:r>
        <w:rPr>
          <w:rFonts w:asciiTheme="majorHAnsi" w:eastAsia="Calibri" w:hAnsiTheme="majorHAnsi" w:cstheme="majorHAnsi"/>
          <w:lang w:val="fr"/>
        </w:rPr>
        <w:t>sous-récipiendaire</w:t>
      </w:r>
      <w:r>
        <w:rPr>
          <w:rFonts w:asciiTheme="majorHAnsi" w:eastAsia="Calibri" w:hAnsiTheme="majorHAnsi" w:cstheme="majorHAnsi"/>
          <w:noProof/>
          <w:lang w:val="fr"/>
        </w:rPr>
        <w:t xml:space="preserve">, en notant les documents clés conservés à chaque endroit.  Voici une liste indicative des documents pouvant être demandés par l’auditeur.   </w:t>
      </w:r>
    </w:p>
    <w:p w14:paraId="22ED0170"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États financiers de la subvention.</w:t>
      </w:r>
    </w:p>
    <w:p w14:paraId="795CE61F" w14:textId="782B021F"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Accords de subvention et de sous-subvention</w:t>
      </w:r>
      <w:r>
        <w:rPr>
          <w:rStyle w:val="FootnoteReference"/>
          <w:rFonts w:asciiTheme="majorHAnsi" w:eastAsia="Calibri" w:hAnsiTheme="majorHAnsi" w:cstheme="majorHAnsi"/>
          <w:lang w:val="fr"/>
        </w:rPr>
        <w:footnoteReference w:id="12"/>
      </w:r>
      <w:r>
        <w:rPr>
          <w:rFonts w:asciiTheme="majorHAnsi" w:eastAsia="Calibri" w:hAnsiTheme="majorHAnsi" w:cstheme="majorHAnsi"/>
          <w:lang w:val="fr"/>
        </w:rPr>
        <w:t>, y compris les budgets détaillés.</w:t>
      </w:r>
    </w:p>
    <w:p w14:paraId="7BF53B8E"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Annexes principales aux états financiers, notamment : recettes et dépenses, actifs et passifs, registres de trésorerie.</w:t>
      </w:r>
    </w:p>
    <w:p w14:paraId="09FAA004"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Rapports d’activité mensuels ou trimestriels intérimaires sur les subventions, le cas échéant (programmatiques et financiers).</w:t>
      </w:r>
    </w:p>
    <w:p w14:paraId="6ED95C71"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Grand livre, livre de caisse, autres livres et registres importants conservés par le récipiendaire principal ou les sous-récipiendaires.</w:t>
      </w:r>
    </w:p>
    <w:p w14:paraId="23BC5496"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Pièces justificatives originales de toutes les dépenses déclarées (factures, assistance complète pour tous les achats de produits de santé ou autres achats nécessitant des procédures d’appel d’offres, feuilles de paie, pièces de banque, journaux, etc.) détenues par le récipiendaire principal ou les sous-récipiendaires.</w:t>
      </w:r>
    </w:p>
    <w:p w14:paraId="0B05C9F3" w14:textId="77777777" w:rsidR="00382C10" w:rsidRPr="00382C10" w:rsidRDefault="00382C10" w:rsidP="00382C10">
      <w:pPr>
        <w:numPr>
          <w:ilvl w:val="0"/>
          <w:numId w:val="39"/>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Relevés bancaires.</w:t>
      </w:r>
    </w:p>
    <w:p w14:paraId="78211F61"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Correspondance importante entre le Fonds mondial et le récipiendaire principal ou le récipiendaire principal et les sous-récipiendaires concernant la mise en œuvre des subventions.</w:t>
      </w:r>
    </w:p>
    <w:p w14:paraId="29BDBD9B"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Manuels de procédures financières, descriptions de systèmes ou tout autre document expliquant les processus ayant contribué à la production de rapports financiers fiables et au maintien des contrôles internes, au niveau du récipiendaire principal et des sous-récipiendaires.</w:t>
      </w:r>
    </w:p>
    <w:p w14:paraId="6F1FB667"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Procès-verbaux des réunions de gestion.</w:t>
      </w:r>
    </w:p>
    <w:p w14:paraId="2EA5781E" w14:textId="77777777" w:rsidR="00382C10" w:rsidRPr="0003530F" w:rsidRDefault="00382C10" w:rsidP="00382C10">
      <w:pPr>
        <w:numPr>
          <w:ilvl w:val="0"/>
          <w:numId w:val="39"/>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Rapports d’audit interne concernant les dépenses du Fonds mondial ou les systèmes, la gouvernance ou d’autres aspects ayant une incidence sur les subventions du Fonds mondial.</w:t>
      </w:r>
    </w:p>
    <w:p w14:paraId="1CFDE38D" w14:textId="1AC37743" w:rsidR="00382C10" w:rsidRPr="00382C10"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rPr>
      </w:pPr>
      <w:bookmarkStart w:id="78" w:name="_Toc5026416"/>
      <w:bookmarkStart w:id="79" w:name="_Toc19971615"/>
      <w:bookmarkStart w:id="80" w:name="_Toc19971781"/>
      <w:bookmarkStart w:id="81" w:name="_Toc19971947"/>
      <w:bookmarkStart w:id="82" w:name="_Toc19972113"/>
      <w:bookmarkStart w:id="83" w:name="_Toc19972279"/>
      <w:bookmarkStart w:id="84" w:name="_Toc19972445"/>
      <w:bookmarkStart w:id="85" w:name="_Toc20466639"/>
      <w:bookmarkStart w:id="86" w:name="_Toc103940826"/>
      <w:r>
        <w:rPr>
          <w:rFonts w:asciiTheme="majorHAnsi" w:eastAsia="MS Gothic" w:hAnsiTheme="majorHAnsi" w:cstheme="majorHAnsi"/>
          <w:b/>
          <w:bCs/>
          <w:color w:val="000000"/>
          <w:sz w:val="24"/>
          <w:szCs w:val="28"/>
          <w:lang w:val="fr"/>
        </w:rPr>
        <w:t>Portée de l’audit</w:t>
      </w:r>
      <w:bookmarkEnd w:id="78"/>
      <w:bookmarkEnd w:id="79"/>
      <w:bookmarkEnd w:id="80"/>
      <w:bookmarkEnd w:id="81"/>
      <w:bookmarkEnd w:id="82"/>
      <w:bookmarkEnd w:id="83"/>
      <w:bookmarkEnd w:id="84"/>
      <w:bookmarkEnd w:id="85"/>
      <w:bookmarkEnd w:id="86"/>
    </w:p>
    <w:p w14:paraId="530F6B18"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L’audit doit être réalisé conformément aux normes internationales d’audit (ISA) ou aux normes internationales des institutions supérieures de contrôle des finances publiques (ISSAI) et comprendra les tests et les contrôles que l’auditeur juge nécessaires dans les circonstances.</w:t>
      </w:r>
    </w:p>
    <w:p w14:paraId="118C4D84" w14:textId="3ED72518" w:rsidR="00382C10" w:rsidRPr="0003530F" w:rsidRDefault="00382C10" w:rsidP="00382C10">
      <w:pPr>
        <w:numPr>
          <w:ilvl w:val="0"/>
          <w:numId w:val="36"/>
        </w:numPr>
        <w:spacing w:before="0" w:after="120" w:line="240" w:lineRule="auto"/>
        <w:ind w:right="29"/>
        <w:jc w:val="both"/>
        <w:rPr>
          <w:rFonts w:asciiTheme="majorHAnsi" w:eastAsia="Calibri" w:hAnsiTheme="majorHAnsi" w:cstheme="majorHAnsi"/>
          <w:lang w:val="fr-FR"/>
        </w:rPr>
      </w:pPr>
      <w:r>
        <w:rPr>
          <w:rFonts w:asciiTheme="majorHAnsi" w:eastAsia="Calibri" w:hAnsiTheme="majorHAnsi" w:cstheme="majorHAnsi"/>
          <w:noProof/>
          <w:lang w:val="fr"/>
        </w:rPr>
        <w:lastRenderedPageBreak/>
        <w:t xml:space="preserve">Dans le cadre du processus d’audit complet, l’auditeur doit rendre un rapport sur les points clés de l’audit </w:t>
      </w:r>
      <w:r w:rsidR="00EA60A5">
        <w:rPr>
          <w:rFonts w:asciiTheme="majorHAnsi" w:eastAsia="Calibri" w:hAnsiTheme="majorHAnsi" w:cstheme="majorHAnsi"/>
          <w:noProof/>
          <w:lang w:val="fr"/>
        </w:rPr>
        <w:t xml:space="preserve">convenus </w:t>
      </w:r>
      <w:r>
        <w:rPr>
          <w:rFonts w:asciiTheme="majorHAnsi" w:eastAsia="Calibri" w:hAnsiTheme="majorHAnsi" w:cstheme="majorHAnsi"/>
          <w:noProof/>
          <w:lang w:val="fr"/>
        </w:rPr>
        <w:t>de l’année visée et sur les aspects suivants.</w:t>
      </w:r>
      <w:r>
        <w:rPr>
          <w:rFonts w:asciiTheme="majorHAnsi" w:eastAsia="Calibri" w:hAnsiTheme="majorHAnsi" w:cstheme="majorHAnsi"/>
          <w:lang w:val="fr"/>
        </w:rPr>
        <w:t xml:space="preserve"> </w:t>
      </w:r>
    </w:p>
    <w:p w14:paraId="4E86739B" w14:textId="77777777" w:rsidR="00382C10" w:rsidRPr="0003530F" w:rsidRDefault="00382C10" w:rsidP="00382C10">
      <w:pPr>
        <w:numPr>
          <w:ilvl w:val="0"/>
          <w:numId w:val="40"/>
        </w:numPr>
        <w:spacing w:before="0" w:after="120" w:line="240" w:lineRule="auto"/>
        <w:jc w:val="both"/>
        <w:rPr>
          <w:rFonts w:asciiTheme="majorHAnsi" w:eastAsia="Calibri" w:hAnsiTheme="majorHAnsi" w:cstheme="majorHAnsi"/>
          <w:lang w:val="fr-FR"/>
        </w:rPr>
      </w:pPr>
      <w:bookmarkStart w:id="87" w:name="_Hlk99629913"/>
      <w:r>
        <w:rPr>
          <w:rFonts w:asciiTheme="majorHAnsi" w:eastAsia="Calibri" w:hAnsiTheme="majorHAnsi" w:cstheme="majorHAnsi"/>
          <w:b/>
          <w:bCs/>
          <w:noProof/>
          <w:lang w:val="fr"/>
        </w:rPr>
        <w:t>Respect des lois en vigueur.</w:t>
      </w:r>
      <w:r>
        <w:rPr>
          <w:rFonts w:asciiTheme="majorHAnsi" w:eastAsia="Calibri" w:hAnsiTheme="majorHAnsi" w:cstheme="majorHAnsi"/>
          <w:noProof/>
          <w:lang w:val="fr"/>
        </w:rPr>
        <w:t xml:space="preserve"> Vérifier que les transactions sont en tous points importants conformes aux lois applicables en vigueur.</w:t>
      </w:r>
    </w:p>
    <w:p w14:paraId="170DD30F" w14:textId="77777777" w:rsidR="00382C10" w:rsidRPr="0003530F" w:rsidRDefault="00382C10" w:rsidP="00382C10">
      <w:pPr>
        <w:numPr>
          <w:ilvl w:val="0"/>
          <w:numId w:val="40"/>
        </w:numPr>
        <w:spacing w:before="0" w:after="120" w:line="240" w:lineRule="auto"/>
        <w:jc w:val="both"/>
        <w:rPr>
          <w:rFonts w:asciiTheme="majorHAnsi" w:eastAsia="Calibri" w:hAnsiTheme="majorHAnsi" w:cstheme="majorHAnsi"/>
          <w:lang w:val="fr-FR"/>
        </w:rPr>
      </w:pPr>
      <w:r>
        <w:rPr>
          <w:rFonts w:asciiTheme="majorHAnsi" w:eastAsia="MS Mincho" w:hAnsiTheme="majorHAnsi" w:cstheme="majorHAnsi"/>
          <w:b/>
          <w:bCs/>
          <w:szCs w:val="24"/>
          <w:lang w:val="fr"/>
        </w:rPr>
        <w:t>Rapprochement du grand livre et des états financiers des subventions à des fins spéciales.</w:t>
      </w:r>
      <w:r>
        <w:rPr>
          <w:rFonts w:asciiTheme="majorHAnsi" w:eastAsia="MS Mincho" w:hAnsiTheme="majorHAnsi" w:cstheme="majorHAnsi"/>
          <w:szCs w:val="24"/>
          <w:lang w:val="fr"/>
        </w:rPr>
        <w:t xml:space="preserve"> Vérifier le grand livre et le livre du programme afin de déterminer si les dépenses engagées ont été enregistrées convenablement, c’est-à-dire que les dépenses au titre de la subvention concordent </w:t>
      </w:r>
      <w:r>
        <w:rPr>
          <w:rFonts w:asciiTheme="majorHAnsi" w:eastAsia="MS Mincho" w:hAnsiTheme="majorHAnsi" w:cstheme="majorHAnsi"/>
          <w:noProof/>
          <w:szCs w:val="24"/>
          <w:lang w:val="fr"/>
        </w:rPr>
        <w:t>avec les écritures du</w:t>
      </w:r>
      <w:r>
        <w:rPr>
          <w:rFonts w:asciiTheme="majorHAnsi" w:eastAsia="MS Mincho" w:hAnsiTheme="majorHAnsi" w:cstheme="majorHAnsi"/>
          <w:szCs w:val="24"/>
          <w:lang w:val="fr"/>
        </w:rPr>
        <w:t xml:space="preserve"> grand livre et du livre du programme. Rapprochement des états financiers des subventions à des fins spéciales avec les registres de base, principalement le livre de caisse.</w:t>
      </w:r>
    </w:p>
    <w:p w14:paraId="6119DB90" w14:textId="64ADD435" w:rsidR="00124591" w:rsidRPr="0003530F" w:rsidRDefault="00382C10" w:rsidP="00A30A41">
      <w:pPr>
        <w:numPr>
          <w:ilvl w:val="0"/>
          <w:numId w:val="40"/>
        </w:numPr>
        <w:spacing w:before="0" w:after="120" w:line="240" w:lineRule="auto"/>
        <w:jc w:val="both"/>
        <w:rPr>
          <w:strike/>
          <w:lang w:val="fr-FR"/>
        </w:rPr>
      </w:pPr>
      <w:r>
        <w:rPr>
          <w:rFonts w:asciiTheme="majorHAnsi" w:eastAsia="MS Mincho" w:hAnsiTheme="majorHAnsi" w:cstheme="majorHAnsi"/>
          <w:b/>
          <w:bCs/>
          <w:szCs w:val="24"/>
          <w:lang w:val="fr"/>
        </w:rPr>
        <w:t>Dépenses engagées au titre des subventions.</w:t>
      </w:r>
      <w:r>
        <w:rPr>
          <w:rFonts w:asciiTheme="majorHAnsi" w:eastAsia="MS Mincho" w:hAnsiTheme="majorHAnsi" w:cstheme="majorHAnsi"/>
          <w:b/>
          <w:bCs/>
          <w:i/>
          <w:iCs/>
          <w:szCs w:val="24"/>
          <w:lang w:val="fr"/>
        </w:rPr>
        <w:t xml:space="preserve"> </w:t>
      </w:r>
      <w:r>
        <w:rPr>
          <w:rFonts w:asciiTheme="majorHAnsi" w:eastAsia="MS Mincho" w:hAnsiTheme="majorHAnsi" w:cstheme="majorHAnsi"/>
          <w:szCs w:val="24"/>
          <w:lang w:val="fr"/>
        </w:rPr>
        <w:t>Vérifier les fonds reçus par le programme à partir des décaissements générés par les fonds du programme</w:t>
      </w:r>
      <w:r>
        <w:rPr>
          <w:rFonts w:asciiTheme="majorHAnsi" w:eastAsia="MS Mincho" w:hAnsiTheme="majorHAnsi" w:cstheme="majorHAnsi"/>
          <w:noProof/>
          <w:szCs w:val="24"/>
          <w:vertAlign w:val="superscript"/>
          <w:lang w:val="fr"/>
        </w:rPr>
        <w:footnoteReference w:id="13"/>
      </w:r>
      <w:r>
        <w:rPr>
          <w:rFonts w:asciiTheme="majorHAnsi" w:eastAsia="MS Mincho" w:hAnsiTheme="majorHAnsi" w:cstheme="majorHAnsi"/>
          <w:noProof/>
          <w:szCs w:val="24"/>
          <w:lang w:val="fr"/>
        </w:rPr>
        <w:t xml:space="preserve">, y compris les produits et services des décaissements directs aux tierces parties, quand elles sont dépensées conformément : </w:t>
      </w:r>
    </w:p>
    <w:p w14:paraId="46E23E5C" w14:textId="749DB446" w:rsidR="00124591" w:rsidRPr="0003530F" w:rsidRDefault="00124591" w:rsidP="00A30A41">
      <w:pPr>
        <w:pStyle w:val="ListParagraph"/>
        <w:numPr>
          <w:ilvl w:val="0"/>
          <w:numId w:val="58"/>
        </w:numPr>
        <w:spacing w:before="0" w:line="264" w:lineRule="auto"/>
        <w:rPr>
          <w:rFonts w:eastAsia="Calibri" w:cs="Arial"/>
          <w:lang w:val="fr-FR"/>
        </w:rPr>
      </w:pPr>
      <w:r>
        <w:rPr>
          <w:rFonts w:eastAsia="Calibri" w:cs="Arial"/>
          <w:lang w:val="fr"/>
        </w:rPr>
        <w:t xml:space="preserve">aux exigences de conformité : le budget approuvé et le plan de travail étaient en vigueur au moment de la dépense, laquelle a été engagée conformément à l’accord de subvention et aux directives budgétaires du Fonds mondial, notamment toute condition applicable à la subvention (pouvant être modifiée ponctuellement par une lettre de mise en œuvre) ; </w:t>
      </w:r>
    </w:p>
    <w:p w14:paraId="707F2AFB" w14:textId="77777777" w:rsidR="00124591" w:rsidRPr="0003530F" w:rsidRDefault="00124591" w:rsidP="00A30A41">
      <w:pPr>
        <w:pStyle w:val="ListParagraph"/>
        <w:numPr>
          <w:ilvl w:val="0"/>
          <w:numId w:val="58"/>
        </w:numPr>
        <w:spacing w:before="0" w:line="264" w:lineRule="auto"/>
        <w:rPr>
          <w:rFonts w:eastAsia="Calibri" w:cs="Arial"/>
          <w:lang w:val="fr-FR"/>
        </w:rPr>
      </w:pPr>
      <w:r>
        <w:rPr>
          <w:rFonts w:eastAsia="Calibri" w:cs="Arial"/>
          <w:lang w:val="fr"/>
        </w:rPr>
        <w:t xml:space="preserve">aux coûts admissibles, seulement aux fins pour lesquelles les fonds ont été fournis ; </w:t>
      </w:r>
    </w:p>
    <w:p w14:paraId="7BF2B180" w14:textId="1F12CFF1" w:rsidR="00124591" w:rsidRPr="0003530F" w:rsidRDefault="00124591" w:rsidP="00A30A41">
      <w:pPr>
        <w:pStyle w:val="ListParagraph"/>
        <w:numPr>
          <w:ilvl w:val="0"/>
          <w:numId w:val="58"/>
        </w:numPr>
        <w:spacing w:before="0" w:line="264" w:lineRule="auto"/>
        <w:rPr>
          <w:rFonts w:eastAsia="Calibri" w:cs="Arial"/>
          <w:lang w:val="fr-FR"/>
        </w:rPr>
      </w:pPr>
      <w:r>
        <w:rPr>
          <w:rFonts w:eastAsia="Calibri" w:cs="Arial"/>
          <w:lang w:val="fr"/>
        </w:rPr>
        <w:t xml:space="preserve">au rapport coût-efficacité, avec </w:t>
      </w:r>
      <w:r w:rsidR="00463245">
        <w:rPr>
          <w:rFonts w:eastAsia="Calibri" w:cs="Arial"/>
          <w:lang w:val="fr"/>
        </w:rPr>
        <w:t>une attention particulière sur les aspects</w:t>
      </w:r>
      <w:r>
        <w:rPr>
          <w:rFonts w:eastAsia="Calibri" w:cs="Arial"/>
          <w:lang w:val="fr"/>
        </w:rPr>
        <w:t xml:space="preserve"> d’économie et d’efficacité ;</w:t>
      </w:r>
    </w:p>
    <w:p w14:paraId="0866A073" w14:textId="1A7F86B0" w:rsidR="00382C10" w:rsidRPr="0003530F" w:rsidRDefault="00124591" w:rsidP="00A30A41">
      <w:pPr>
        <w:pStyle w:val="ListParagraph"/>
        <w:numPr>
          <w:ilvl w:val="0"/>
          <w:numId w:val="58"/>
        </w:numPr>
        <w:spacing w:before="0" w:line="264" w:lineRule="auto"/>
        <w:rPr>
          <w:rFonts w:eastAsia="Calibri" w:cs="Arial"/>
          <w:lang w:val="fr-FR"/>
        </w:rPr>
      </w:pPr>
      <w:r>
        <w:rPr>
          <w:rFonts w:eastAsia="Calibri" w:cs="Arial"/>
          <w:lang w:val="fr"/>
        </w:rPr>
        <w:t>aux coûts partagés, avec vérification du mécanisme d’allocation des coûts partagés et examen de la précision, de la complétude et du caractère raisonnable des coûts partagés</w:t>
      </w:r>
      <w:bookmarkStart w:id="88" w:name="_Hlk5026253"/>
      <w:r>
        <w:rPr>
          <w:rFonts w:eastAsia="Calibri" w:cs="Arial"/>
          <w:lang w:val="fr"/>
        </w:rPr>
        <w:t>.</w:t>
      </w:r>
      <w:bookmarkEnd w:id="88"/>
    </w:p>
    <w:p w14:paraId="6425FF84" w14:textId="1FAC5045" w:rsidR="00382C10" w:rsidRPr="0003530F" w:rsidRDefault="00382C10" w:rsidP="00382C10">
      <w:pPr>
        <w:numPr>
          <w:ilvl w:val="0"/>
          <w:numId w:val="40"/>
        </w:numPr>
        <w:spacing w:before="0" w:after="120" w:line="240" w:lineRule="auto"/>
        <w:jc w:val="both"/>
        <w:rPr>
          <w:rFonts w:asciiTheme="majorHAnsi" w:eastAsia="Calibri" w:hAnsiTheme="majorHAnsi" w:cstheme="majorHAnsi"/>
          <w:lang w:val="fr-FR"/>
        </w:rPr>
      </w:pPr>
      <w:r>
        <w:rPr>
          <w:rFonts w:asciiTheme="majorHAnsi" w:eastAsia="MS Mincho" w:hAnsiTheme="majorHAnsi" w:cstheme="majorHAnsi"/>
          <w:b/>
          <w:bCs/>
          <w:szCs w:val="24"/>
          <w:lang w:val="fr"/>
        </w:rPr>
        <w:t>Coûts admissibles.</w:t>
      </w:r>
      <w:r>
        <w:rPr>
          <w:rFonts w:asciiTheme="majorHAnsi" w:eastAsia="MS Mincho" w:hAnsiTheme="majorHAnsi" w:cstheme="majorHAnsi"/>
          <w:szCs w:val="24"/>
          <w:lang w:val="fr"/>
        </w:rPr>
        <w:t xml:space="preserve"> Examen des coûts imputés à la subvention pour relever et quantifier les coûts irrecevables selon les définitions pertinentes des sections 4 et 5 des directives budgétaires, ainsi que pour </w:t>
      </w:r>
      <w:r>
        <w:rPr>
          <w:rFonts w:asciiTheme="majorHAnsi" w:eastAsia="MS Mincho" w:hAnsiTheme="majorHAnsi" w:cstheme="majorHAnsi"/>
          <w:noProof/>
          <w:szCs w:val="24"/>
          <w:lang w:val="fr"/>
        </w:rPr>
        <w:t>accepter</w:t>
      </w:r>
      <w:r>
        <w:rPr>
          <w:rFonts w:asciiTheme="majorHAnsi" w:eastAsia="MS Mincho" w:hAnsiTheme="majorHAnsi" w:cstheme="majorHAnsi"/>
          <w:szCs w:val="24"/>
          <w:lang w:val="fr"/>
        </w:rPr>
        <w:t xml:space="preserve"> les dépenses relatives aux pièces justificatives sur une base d’échantillonnage. Rapprocher les dépenses réelles et le </w:t>
      </w:r>
      <w:r>
        <w:rPr>
          <w:rFonts w:asciiTheme="majorHAnsi" w:eastAsia="MS Mincho" w:hAnsiTheme="majorHAnsi" w:cstheme="majorHAnsi"/>
          <w:noProof/>
          <w:szCs w:val="24"/>
          <w:lang w:val="fr"/>
        </w:rPr>
        <w:t>budget</w:t>
      </w:r>
      <w:r>
        <w:rPr>
          <w:rFonts w:asciiTheme="majorHAnsi" w:eastAsia="MS Mincho" w:hAnsiTheme="majorHAnsi" w:cstheme="majorHAnsi"/>
          <w:szCs w:val="24"/>
          <w:lang w:val="fr"/>
        </w:rPr>
        <w:t xml:space="preserve"> et obtenir des explications sur les écarts obtenus (les écarts importants non approuvés doivent </w:t>
      </w:r>
      <w:r>
        <w:rPr>
          <w:rFonts w:asciiTheme="majorHAnsi" w:eastAsia="MS Mincho" w:hAnsiTheme="majorHAnsi" w:cstheme="majorHAnsi"/>
          <w:noProof/>
          <w:szCs w:val="24"/>
          <w:lang w:val="fr"/>
        </w:rPr>
        <w:t>être inclus</w:t>
      </w:r>
      <w:r>
        <w:rPr>
          <w:rFonts w:asciiTheme="majorHAnsi" w:eastAsia="MS Mincho" w:hAnsiTheme="majorHAnsi" w:cstheme="majorHAnsi"/>
          <w:szCs w:val="24"/>
          <w:lang w:val="fr"/>
        </w:rPr>
        <w:t xml:space="preserve"> dans l’état des dépenses irrecevables).</w:t>
      </w:r>
    </w:p>
    <w:p w14:paraId="1CBDE597" w14:textId="2DBF53E0" w:rsidR="007555F1" w:rsidRPr="0003530F" w:rsidRDefault="00382C10" w:rsidP="007555F1">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Système</w:t>
      </w:r>
      <w:r>
        <w:rPr>
          <w:rFonts w:asciiTheme="majorHAnsi" w:eastAsia="MS Mincho" w:hAnsiTheme="majorHAnsi" w:cstheme="majorHAnsi"/>
          <w:b/>
          <w:bCs/>
          <w:szCs w:val="24"/>
          <w:lang w:val="fr"/>
        </w:rPr>
        <w:t xml:space="preserve"> de contrôle interne.</w:t>
      </w:r>
      <w:r>
        <w:rPr>
          <w:rFonts w:asciiTheme="majorHAnsi" w:eastAsia="MS Mincho" w:hAnsiTheme="majorHAnsi" w:cstheme="majorHAnsi"/>
          <w:szCs w:val="24"/>
          <w:lang w:val="fr"/>
        </w:rPr>
        <w:t xml:space="preserve"> Une évaluation complète du </w:t>
      </w:r>
      <w:r>
        <w:rPr>
          <w:rFonts w:asciiTheme="majorHAnsi" w:eastAsia="MS Mincho" w:hAnsiTheme="majorHAnsi" w:cstheme="majorHAnsi"/>
          <w:b/>
          <w:bCs/>
          <w:szCs w:val="24"/>
          <w:lang w:val="fr"/>
        </w:rPr>
        <w:t>récipiendaire principal</w:t>
      </w:r>
      <w:r>
        <w:rPr>
          <w:rFonts w:asciiTheme="majorHAnsi" w:eastAsia="MS Mincho" w:hAnsiTheme="majorHAnsi" w:cstheme="majorHAnsi"/>
          <w:szCs w:val="24"/>
          <w:lang w:val="fr"/>
        </w:rPr>
        <w:t xml:space="preserve"> et des </w:t>
      </w:r>
      <w:r>
        <w:rPr>
          <w:rFonts w:asciiTheme="majorHAnsi" w:eastAsia="MS Mincho" w:hAnsiTheme="majorHAnsi" w:cstheme="majorHAnsi"/>
          <w:b/>
          <w:bCs/>
          <w:szCs w:val="24"/>
          <w:lang w:val="fr"/>
        </w:rPr>
        <w:t>sous-récipiendaires clés</w:t>
      </w:r>
      <w:r>
        <w:rPr>
          <w:rFonts w:asciiTheme="majorHAnsi" w:eastAsia="MS Mincho" w:hAnsiTheme="majorHAnsi" w:cstheme="majorHAnsi"/>
          <w:szCs w:val="24"/>
          <w:lang w:val="fr"/>
        </w:rPr>
        <w:t xml:space="preserve"> identifiés par l’équipe de pays du Fonds mondial, en consultation avec le récipiendaire principal, de la conception et de l’efficacité opérationnelle, durant la période de l’audit, portant sur ce qui suit :  </w:t>
      </w:r>
    </w:p>
    <w:p w14:paraId="3D2ADC30" w14:textId="30902BDA" w:rsidR="0076015E" w:rsidRPr="0003530F" w:rsidRDefault="007555F1" w:rsidP="005B6EE2">
      <w:pPr>
        <w:pStyle w:val="ListParagraph"/>
        <w:numPr>
          <w:ilvl w:val="0"/>
          <w:numId w:val="58"/>
        </w:numPr>
        <w:spacing w:before="0" w:line="264" w:lineRule="auto"/>
        <w:rPr>
          <w:rFonts w:eastAsia="Calibri" w:cs="Arial"/>
          <w:lang w:val="fr-FR"/>
        </w:rPr>
      </w:pPr>
      <w:r>
        <w:rPr>
          <w:rFonts w:eastAsia="Calibri" w:cs="Arial"/>
          <w:lang w:val="fr"/>
        </w:rPr>
        <w:t>le système de comptabilité et de contrôle interne dans son ensemble, en matière de contrôle des dépenses à tous les niveaux du programme et des autres transactions financières ;</w:t>
      </w:r>
    </w:p>
    <w:p w14:paraId="7659CE21" w14:textId="25EF1A4C" w:rsidR="00BC72B6" w:rsidRPr="0003530F" w:rsidRDefault="007555F1" w:rsidP="005B6EE2">
      <w:pPr>
        <w:pStyle w:val="ListParagraph"/>
        <w:numPr>
          <w:ilvl w:val="0"/>
          <w:numId w:val="58"/>
        </w:numPr>
        <w:spacing w:before="0" w:line="264" w:lineRule="auto"/>
        <w:rPr>
          <w:rFonts w:eastAsia="Calibri" w:cs="Arial"/>
          <w:lang w:val="fr-FR"/>
        </w:rPr>
      </w:pPr>
      <w:r>
        <w:rPr>
          <w:rFonts w:eastAsia="Calibri" w:cs="Arial"/>
          <w:lang w:val="fr"/>
        </w:rPr>
        <w:t xml:space="preserve">le caractère adéquat et l’efficacité des contrôles entourant les opérations en espèces ; </w:t>
      </w:r>
    </w:p>
    <w:p w14:paraId="4419997C" w14:textId="77777777" w:rsidR="006B5DB9" w:rsidRPr="0003530F"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fr-FR"/>
        </w:rPr>
      </w:pPr>
      <w:r>
        <w:rPr>
          <w:rFonts w:eastAsia="Calibri" w:cs="Arial"/>
          <w:lang w:val="fr"/>
        </w:rPr>
        <w:t>la gestion des risques importants liés à l’atteinte des objectifs du programme ;</w:t>
      </w:r>
    </w:p>
    <w:p w14:paraId="27631176" w14:textId="1EA1B5B5" w:rsidR="006B5DB9" w:rsidRPr="0003530F"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szCs w:val="24"/>
          <w:lang w:val="fr"/>
        </w:rPr>
        <w:t xml:space="preserve">les contrôles relatifs au risque de fraude chez le récipiendaire principal et les sous-récipiendaires (ISA 240), qui méritent une attention particulière ; </w:t>
      </w:r>
    </w:p>
    <w:p w14:paraId="56039113" w14:textId="252213EC" w:rsidR="006A4DDA" w:rsidRPr="0003530F"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szCs w:val="24"/>
          <w:lang w:val="fr"/>
        </w:rPr>
        <w:lastRenderedPageBreak/>
        <w:t xml:space="preserve">les contrôles et les processus confiés à des </w:t>
      </w:r>
      <w:r>
        <w:rPr>
          <w:rFonts w:asciiTheme="majorHAnsi" w:eastAsia="MS Mincho" w:hAnsiTheme="majorHAnsi" w:cstheme="majorHAnsi"/>
          <w:b/>
          <w:bCs/>
          <w:szCs w:val="24"/>
          <w:lang w:val="fr"/>
        </w:rPr>
        <w:t>tierces parties</w:t>
      </w:r>
      <w:r>
        <w:rPr>
          <w:rFonts w:asciiTheme="majorHAnsi" w:eastAsia="MS Mincho" w:hAnsiTheme="majorHAnsi" w:cstheme="majorHAnsi"/>
          <w:b/>
          <w:bCs/>
          <w:szCs w:val="24"/>
          <w:vertAlign w:val="superscript"/>
          <w:lang w:val="fr"/>
        </w:rPr>
        <w:footnoteReference w:id="14"/>
      </w:r>
      <w:r>
        <w:rPr>
          <w:rFonts w:asciiTheme="majorHAnsi" w:eastAsia="MS Mincho" w:hAnsiTheme="majorHAnsi" w:cstheme="majorHAnsi"/>
          <w:szCs w:val="24"/>
          <w:lang w:val="fr"/>
        </w:rPr>
        <w:t xml:space="preserve"> [le cas échéant].</w:t>
      </w:r>
    </w:p>
    <w:p w14:paraId="665F19CE" w14:textId="1A28FDDC" w:rsidR="006A4DDA" w:rsidRPr="0003530F" w:rsidRDefault="006A4DDA" w:rsidP="00A30A41">
      <w:pPr>
        <w:spacing w:before="0" w:after="120" w:line="240" w:lineRule="auto"/>
        <w:ind w:left="1004"/>
        <w:jc w:val="both"/>
        <w:rPr>
          <w:rFonts w:asciiTheme="majorHAnsi" w:eastAsia="Calibri" w:hAnsiTheme="majorHAnsi" w:cstheme="majorHAnsi"/>
          <w:lang w:val="fr-FR"/>
        </w:rPr>
      </w:pPr>
      <w:r>
        <w:rPr>
          <w:rFonts w:asciiTheme="majorHAnsi" w:eastAsia="Calibri" w:hAnsiTheme="majorHAnsi" w:cstheme="majorHAnsi"/>
          <w:lang w:val="fr"/>
        </w:rPr>
        <w:t xml:space="preserve">Dans le cas des pays de la catégorie « ciblé », l’auditeur doit limiter son évaluation aux contrôles financiers du récipiendaire principal et des sous-récipiendaires.  </w:t>
      </w:r>
    </w:p>
    <w:p w14:paraId="41B5A6DF" w14:textId="77777777" w:rsidR="00382C10" w:rsidRPr="0003530F" w:rsidRDefault="00382C10" w:rsidP="00382C10">
      <w:pPr>
        <w:numPr>
          <w:ilvl w:val="0"/>
          <w:numId w:val="40"/>
        </w:numPr>
        <w:spacing w:before="0" w:after="120" w:line="240" w:lineRule="auto"/>
        <w:jc w:val="both"/>
        <w:rPr>
          <w:rFonts w:asciiTheme="majorHAnsi" w:eastAsia="MS Mincho" w:hAnsiTheme="majorHAnsi" w:cstheme="majorHAnsi"/>
          <w:noProof/>
          <w:szCs w:val="24"/>
          <w:lang w:val="fr-FR"/>
        </w:rPr>
      </w:pPr>
      <w:r>
        <w:rPr>
          <w:rFonts w:asciiTheme="majorHAnsi" w:eastAsia="MS Mincho" w:hAnsiTheme="majorHAnsi" w:cstheme="majorHAnsi"/>
          <w:b/>
          <w:bCs/>
          <w:noProof/>
          <w:szCs w:val="24"/>
          <w:lang w:val="fr"/>
        </w:rPr>
        <w:t xml:space="preserve">Suivi des conclusions des rapports d’audit antérieurs. </w:t>
      </w:r>
      <w:r>
        <w:rPr>
          <w:rFonts w:asciiTheme="majorHAnsi" w:eastAsia="MS Mincho" w:hAnsiTheme="majorHAnsi" w:cstheme="majorHAnsi"/>
          <w:noProof/>
          <w:szCs w:val="24"/>
          <w:lang w:val="fr"/>
        </w:rPr>
        <w:t>L’auditeur doit assurer le suivi des mesures envisagées par la direction en réponse aux recommandations des audits antérieurs, y compris les audits externes, les audits internes pertinents et les audits publiés par le Bureau de l’inspecteur général du Fonds mondial.</w:t>
      </w:r>
    </w:p>
    <w:p w14:paraId="70CF8549" w14:textId="75C6026F"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Comptes bancaires désignés.</w:t>
      </w:r>
      <w:r>
        <w:rPr>
          <w:rFonts w:asciiTheme="majorHAnsi" w:eastAsia="MS Mincho" w:hAnsiTheme="majorHAnsi" w:cstheme="majorHAnsi"/>
          <w:noProof/>
          <w:szCs w:val="24"/>
          <w:lang w:val="fr"/>
        </w:rPr>
        <w:t xml:space="preserve"> Il a été vérifié, le cas échéant, si les comptes bancaires désignés (notamment ceux utilisés au titre d’un mécanisme de mise en œuvre de programmes à financement commun approuvé) ont été tenus et utilisés par le </w:t>
      </w:r>
      <w:r>
        <w:rPr>
          <w:rFonts w:asciiTheme="majorHAnsi" w:eastAsia="MS Mincho" w:hAnsiTheme="majorHAnsi" w:cstheme="majorHAnsi"/>
          <w:szCs w:val="24"/>
          <w:lang w:val="fr"/>
        </w:rPr>
        <w:t>récipiendaire principal et les sous-récipiendaires</w:t>
      </w:r>
      <w:r>
        <w:rPr>
          <w:rFonts w:asciiTheme="majorHAnsi" w:eastAsia="MS Mincho" w:hAnsiTheme="majorHAnsi" w:cstheme="majorHAnsi"/>
          <w:noProof/>
          <w:szCs w:val="24"/>
          <w:lang w:val="fr"/>
        </w:rPr>
        <w:t xml:space="preserve"> dans le respect des dispositions de l’accord de subvention et des règles et procédures du Fonds mondial. Les auditeurs doivent réaliser une vérification directe auprès de l’institution bancaire, de tous les comptes bancaires désignés tenus par le récipiendaire principal. Ils doivent en outre examiner le processus et les contrôles employés par le récipiendaire principal pour vérifier les comptes bancaires désignés tenus par les sous-récipiendaires.</w:t>
      </w:r>
    </w:p>
    <w:p w14:paraId="64393E46" w14:textId="77777777" w:rsidR="00382C10" w:rsidRPr="007D0506" w:rsidRDefault="00382C10" w:rsidP="00382C10">
      <w:pPr>
        <w:numPr>
          <w:ilvl w:val="0"/>
          <w:numId w:val="40"/>
        </w:numPr>
        <w:spacing w:before="0" w:after="120" w:line="240" w:lineRule="auto"/>
        <w:jc w:val="both"/>
        <w:rPr>
          <w:rFonts w:asciiTheme="majorHAnsi" w:eastAsia="MS Mincho" w:hAnsiTheme="majorHAnsi" w:cstheme="majorHAnsi"/>
          <w:szCs w:val="24"/>
        </w:rPr>
      </w:pPr>
      <w:r>
        <w:rPr>
          <w:rFonts w:asciiTheme="majorHAnsi" w:eastAsia="MS Mincho" w:hAnsiTheme="majorHAnsi" w:cstheme="majorHAnsi"/>
          <w:b/>
          <w:bCs/>
          <w:szCs w:val="24"/>
          <w:lang w:val="fr"/>
        </w:rPr>
        <w:t>Mécanismes de flux financiers.</w:t>
      </w:r>
      <w:r>
        <w:rPr>
          <w:rFonts w:asciiTheme="majorHAnsi" w:eastAsia="MS Mincho" w:hAnsiTheme="majorHAnsi" w:cstheme="majorHAnsi"/>
          <w:b/>
          <w:bCs/>
          <w:i/>
          <w:iCs/>
          <w:szCs w:val="24"/>
          <w:lang w:val="fr"/>
        </w:rPr>
        <w:t xml:space="preserve"> </w:t>
      </w:r>
      <w:r>
        <w:rPr>
          <w:rFonts w:asciiTheme="majorHAnsi" w:eastAsia="MS Mincho" w:hAnsiTheme="majorHAnsi" w:cstheme="majorHAnsi"/>
          <w:szCs w:val="24"/>
          <w:lang w:val="fr"/>
        </w:rPr>
        <w:t xml:space="preserve">Examen des procédures de contrôle des fonds, y compris leur </w:t>
      </w:r>
      <w:r>
        <w:rPr>
          <w:rFonts w:asciiTheme="majorHAnsi" w:eastAsia="MS Mincho" w:hAnsiTheme="majorHAnsi" w:cstheme="majorHAnsi"/>
          <w:noProof/>
          <w:szCs w:val="24"/>
          <w:lang w:val="fr"/>
        </w:rPr>
        <w:t>affectation</w:t>
      </w:r>
      <w:r>
        <w:rPr>
          <w:rFonts w:asciiTheme="majorHAnsi" w:eastAsia="MS Mincho" w:hAnsiTheme="majorHAnsi" w:cstheme="majorHAnsi"/>
          <w:szCs w:val="24"/>
          <w:lang w:val="fr"/>
        </w:rPr>
        <w:t xml:space="preserve"> aux institutions financières sous contrat et aux </w:t>
      </w:r>
      <w:r>
        <w:rPr>
          <w:rFonts w:asciiTheme="majorHAnsi" w:eastAsia="MS Mincho" w:hAnsiTheme="majorHAnsi" w:cstheme="majorHAnsi"/>
          <w:noProof/>
          <w:szCs w:val="24"/>
          <w:lang w:val="fr"/>
        </w:rPr>
        <w:t>autres entités chargées de la mise en œuvre.  Revue des comptes bancaires et des contrôles de ces comptes bancaires. Confirmation positive des soldes, si nécessaire.</w:t>
      </w:r>
    </w:p>
    <w:p w14:paraId="0316EDE8" w14:textId="77777777"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Protection des actifs.</w:t>
      </w:r>
      <w:r>
        <w:rPr>
          <w:rFonts w:asciiTheme="majorHAnsi" w:eastAsia="MS Mincho" w:hAnsiTheme="majorHAnsi" w:cstheme="majorHAnsi"/>
          <w:noProof/>
          <w:szCs w:val="24"/>
          <w:lang w:val="fr"/>
        </w:rPr>
        <w:t xml:space="preserve"> Vérifier que le </w:t>
      </w:r>
      <w:r>
        <w:rPr>
          <w:rFonts w:asciiTheme="majorHAnsi" w:eastAsia="MS Mincho" w:hAnsiTheme="majorHAnsi" w:cstheme="majorHAnsi"/>
          <w:szCs w:val="24"/>
          <w:lang w:val="fr"/>
        </w:rPr>
        <w:t xml:space="preserve">récipiendaire principal </w:t>
      </w:r>
      <w:r>
        <w:rPr>
          <w:rFonts w:asciiTheme="majorHAnsi" w:eastAsia="MS Mincho" w:hAnsiTheme="majorHAnsi" w:cstheme="majorHAnsi"/>
          <w:noProof/>
          <w:szCs w:val="24"/>
          <w:lang w:val="fr"/>
        </w:rPr>
        <w:t>et les sous-récipiendaires ont mis en place des mécanismes de suivi et de protection des actifs achetés à l’aide des fonds de subvention et les ont utilisés aux fins prévues. Vérifier qu’un registre des actifs immobilisés du programme existe, qu’il est tenu conformément à l’accord de subvention et que les droits de propriété ou les droits des récipiendaires associés sont établis dans le respect des conditions de la subvention.</w:t>
      </w:r>
      <w:r>
        <w:rPr>
          <w:rFonts w:asciiTheme="majorHAnsi" w:eastAsia="MS Mincho" w:hAnsiTheme="majorHAnsi" w:cstheme="majorHAnsi"/>
          <w:b/>
          <w:bCs/>
          <w:szCs w:val="24"/>
          <w:lang w:val="fr"/>
        </w:rPr>
        <w:t xml:space="preserve"> </w:t>
      </w:r>
    </w:p>
    <w:p w14:paraId="21B19508" w14:textId="77777777"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 xml:space="preserve">Décaissements aux sous-récipiendaires. </w:t>
      </w:r>
      <w:r>
        <w:rPr>
          <w:rFonts w:asciiTheme="majorHAnsi" w:eastAsia="MS Mincho" w:hAnsiTheme="majorHAnsi" w:cstheme="majorHAnsi"/>
          <w:noProof/>
          <w:szCs w:val="24"/>
          <w:lang w:val="fr"/>
        </w:rPr>
        <w:t xml:space="preserve">Vérifier que les décaissements du </w:t>
      </w:r>
      <w:r>
        <w:rPr>
          <w:rFonts w:asciiTheme="majorHAnsi" w:eastAsia="MS Mincho" w:hAnsiTheme="majorHAnsi" w:cstheme="majorHAnsi"/>
          <w:szCs w:val="24"/>
          <w:lang w:val="fr"/>
        </w:rPr>
        <w:t>récipiendaire principal</w:t>
      </w:r>
      <w:r>
        <w:rPr>
          <w:rFonts w:asciiTheme="majorHAnsi" w:eastAsia="MS Mincho" w:hAnsiTheme="majorHAnsi" w:cstheme="majorHAnsi"/>
          <w:noProof/>
          <w:szCs w:val="24"/>
          <w:lang w:val="fr"/>
        </w:rPr>
        <w:t xml:space="preserve"> aux </w:t>
      </w:r>
      <w:r>
        <w:rPr>
          <w:rFonts w:asciiTheme="majorHAnsi" w:eastAsia="MS Mincho" w:hAnsiTheme="majorHAnsi" w:cstheme="majorHAnsi"/>
          <w:szCs w:val="24"/>
          <w:lang w:val="fr"/>
        </w:rPr>
        <w:t>sous-récipiendaires</w:t>
      </w:r>
      <w:r>
        <w:rPr>
          <w:rFonts w:asciiTheme="majorHAnsi" w:eastAsia="MS Mincho" w:hAnsiTheme="majorHAnsi" w:cstheme="majorHAnsi"/>
          <w:noProof/>
          <w:szCs w:val="24"/>
          <w:lang w:val="fr"/>
        </w:rPr>
        <w:t xml:space="preserve"> sont conformes aux sous-accords de </w:t>
      </w:r>
      <w:r>
        <w:rPr>
          <w:rFonts w:asciiTheme="majorHAnsi" w:eastAsia="MS Mincho" w:hAnsiTheme="majorHAnsi" w:cstheme="majorHAnsi"/>
          <w:szCs w:val="24"/>
          <w:lang w:val="fr"/>
        </w:rPr>
        <w:t>subvention</w:t>
      </w:r>
      <w:r>
        <w:rPr>
          <w:rFonts w:asciiTheme="majorHAnsi" w:eastAsia="MS Mincho" w:hAnsiTheme="majorHAnsi" w:cstheme="majorHAnsi"/>
          <w:noProof/>
          <w:szCs w:val="24"/>
          <w:lang w:val="fr"/>
        </w:rPr>
        <w:t xml:space="preserve"> passés avec ces derniers ainsi qu’au plan de travail et au budget approuvés. Vérifier que le </w:t>
      </w:r>
      <w:r>
        <w:rPr>
          <w:rFonts w:asciiTheme="majorHAnsi" w:eastAsia="MS Mincho" w:hAnsiTheme="majorHAnsi" w:cstheme="majorHAnsi"/>
          <w:szCs w:val="24"/>
          <w:lang w:val="fr"/>
        </w:rPr>
        <w:t>récipiendaire principal</w:t>
      </w:r>
      <w:r>
        <w:rPr>
          <w:rFonts w:asciiTheme="majorHAnsi" w:eastAsia="MS Mincho" w:hAnsiTheme="majorHAnsi" w:cstheme="majorHAnsi"/>
          <w:noProof/>
          <w:szCs w:val="24"/>
          <w:lang w:val="fr"/>
        </w:rPr>
        <w:t xml:space="preserve"> suit le processus adéquat de validation des rapports de dépenses communiqués par les </w:t>
      </w:r>
      <w:r>
        <w:rPr>
          <w:rFonts w:asciiTheme="majorHAnsi" w:eastAsia="MS Mincho" w:hAnsiTheme="majorHAnsi" w:cstheme="majorHAnsi"/>
          <w:szCs w:val="24"/>
          <w:lang w:val="fr"/>
        </w:rPr>
        <w:t>sous-récipiendaires</w:t>
      </w:r>
      <w:r>
        <w:rPr>
          <w:rFonts w:asciiTheme="majorHAnsi" w:eastAsia="MS Mincho" w:hAnsiTheme="majorHAnsi" w:cstheme="majorHAnsi"/>
          <w:noProof/>
          <w:szCs w:val="24"/>
          <w:lang w:val="fr"/>
        </w:rPr>
        <w:t>.</w:t>
      </w:r>
      <w:r>
        <w:rPr>
          <w:rFonts w:asciiTheme="majorHAnsi" w:eastAsia="MS Mincho" w:hAnsiTheme="majorHAnsi" w:cstheme="majorHAnsi"/>
          <w:szCs w:val="24"/>
          <w:lang w:val="fr"/>
        </w:rPr>
        <w:t xml:space="preserve">  </w:t>
      </w:r>
    </w:p>
    <w:p w14:paraId="116B322F" w14:textId="409571D8" w:rsidR="009171CA" w:rsidRPr="0003530F" w:rsidRDefault="00382C10" w:rsidP="002E5CD0">
      <w:pPr>
        <w:numPr>
          <w:ilvl w:val="0"/>
          <w:numId w:val="40"/>
        </w:numPr>
        <w:spacing w:before="0" w:after="120" w:line="240" w:lineRule="auto"/>
        <w:jc w:val="both"/>
        <w:rPr>
          <w:rFonts w:asciiTheme="majorHAnsi" w:eastAsia="MS Mincho" w:hAnsiTheme="majorHAnsi" w:cstheme="majorHAnsi"/>
          <w:noProof/>
          <w:szCs w:val="24"/>
          <w:lang w:val="fr-FR"/>
        </w:rPr>
      </w:pPr>
      <w:r>
        <w:rPr>
          <w:rFonts w:asciiTheme="majorHAnsi" w:eastAsia="MS Mincho" w:hAnsiTheme="majorHAnsi" w:cstheme="majorHAnsi"/>
          <w:b/>
          <w:bCs/>
          <w:szCs w:val="24"/>
          <w:lang w:val="fr"/>
        </w:rPr>
        <w:t>Conservation des données et pièces justificatives.</w:t>
      </w:r>
      <w:r>
        <w:rPr>
          <w:rFonts w:asciiTheme="majorHAnsi" w:eastAsia="MS Mincho" w:hAnsiTheme="majorHAnsi" w:cstheme="majorHAnsi"/>
          <w:szCs w:val="24"/>
          <w:lang w:val="fr"/>
        </w:rPr>
        <w:t xml:space="preserve"> Vérifier </w:t>
      </w:r>
      <w:r>
        <w:rPr>
          <w:rFonts w:asciiTheme="majorHAnsi" w:eastAsia="MS Mincho" w:hAnsiTheme="majorHAnsi" w:cstheme="majorHAnsi"/>
          <w:noProof/>
          <w:szCs w:val="24"/>
          <w:lang w:val="fr"/>
        </w:rPr>
        <w:t>que l’ensemble des justificatifs, registres et livres de comptes requis ont été conservés dans le respect des dispositions de l’accord de subvention.  Vérifier que des procédures ont été mises en place pour la sécurisation et la gestion des données électroniques (systèmes et procédures de sauvegarde, etc.)</w:t>
      </w:r>
    </w:p>
    <w:p w14:paraId="5F12F33E" w14:textId="67DBCDD8" w:rsidR="00382C10" w:rsidRPr="0003530F" w:rsidRDefault="00382C10" w:rsidP="00382C10">
      <w:pPr>
        <w:numPr>
          <w:ilvl w:val="0"/>
          <w:numId w:val="40"/>
        </w:numPr>
        <w:spacing w:before="0" w:after="120" w:line="240" w:lineRule="auto"/>
        <w:jc w:val="both"/>
        <w:rPr>
          <w:rFonts w:asciiTheme="majorHAnsi" w:eastAsia="MS Mincho" w:hAnsiTheme="majorHAnsi" w:cstheme="majorHAnsi"/>
          <w:noProof/>
          <w:szCs w:val="24"/>
          <w:lang w:val="fr-FR"/>
        </w:rPr>
      </w:pPr>
      <w:r>
        <w:rPr>
          <w:rFonts w:asciiTheme="majorHAnsi" w:eastAsia="MS Mincho" w:hAnsiTheme="majorHAnsi" w:cstheme="majorHAnsi"/>
          <w:b/>
          <w:bCs/>
          <w:noProof/>
          <w:szCs w:val="24"/>
          <w:lang w:val="fr"/>
        </w:rPr>
        <w:t>Biens et services.</w:t>
      </w:r>
      <w:r>
        <w:rPr>
          <w:rFonts w:asciiTheme="majorHAnsi" w:eastAsia="MS Mincho" w:hAnsiTheme="majorHAnsi" w:cstheme="majorHAnsi"/>
          <w:noProof/>
          <w:szCs w:val="24"/>
          <w:lang w:val="fr"/>
        </w:rPr>
        <w:t xml:space="preserve"> Les biens et services ont été acquis dans un cadre transparent et concurrentiel, et conformément à l’accord de subvention pertinent et aux procédures d’achat du récipiendaire principal ou des sous-récipiendaires.</w:t>
      </w:r>
    </w:p>
    <w:p w14:paraId="750A7B8B" w14:textId="78CA049C"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Systèmes d’achat et de distribution des produits pharmaceutiques et de santé.</w:t>
      </w:r>
      <w:r>
        <w:rPr>
          <w:rFonts w:asciiTheme="majorHAnsi" w:eastAsia="MS Mincho" w:hAnsiTheme="majorHAnsi" w:cstheme="majorHAnsi"/>
          <w:noProof/>
          <w:szCs w:val="24"/>
          <w:lang w:val="fr"/>
        </w:rPr>
        <w:t xml:space="preserve"> </w:t>
      </w:r>
      <w:r>
        <w:rPr>
          <w:rFonts w:asciiTheme="majorHAnsi" w:eastAsia="MS Mincho" w:hAnsiTheme="majorHAnsi" w:cstheme="majorHAnsi"/>
          <w:szCs w:val="24"/>
          <w:lang w:val="fr"/>
        </w:rPr>
        <w:t xml:space="preserve">Vérifier que les systèmes et contrôles des achats et des stocks sont propres à soutenir effectivement l’acquisition, le stockage, l’approvisionnement et la distribution de produits pharmaceutiques et de santé dans le respect des objectifs du programme. En ce qui concerne les produits acquis au moyen du mécanisme d’achat groupé/Wambo, la </w:t>
      </w:r>
      <w:r>
        <w:rPr>
          <w:rFonts w:asciiTheme="majorHAnsi" w:eastAsia="MS Mincho" w:hAnsiTheme="majorHAnsi" w:cstheme="majorHAnsi"/>
          <w:szCs w:val="24"/>
          <w:lang w:val="fr"/>
        </w:rPr>
        <w:lastRenderedPageBreak/>
        <w:t>vérification couvre seulement le stockage, l’approvisionnement et la distribution des produits pharmaceutiques et de santé</w:t>
      </w:r>
      <w:r>
        <w:rPr>
          <w:rFonts w:asciiTheme="majorHAnsi" w:eastAsia="MS Mincho" w:hAnsiTheme="majorHAnsi" w:cstheme="majorHAnsi"/>
          <w:noProof/>
          <w:szCs w:val="24"/>
          <w:lang w:val="fr"/>
        </w:rPr>
        <w:t>.</w:t>
      </w:r>
    </w:p>
    <w:p w14:paraId="2E328486" w14:textId="5AB53889"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szCs w:val="24"/>
          <w:lang w:val="fr"/>
        </w:rPr>
        <w:t>Coûts liés aux ressources humaines.</w:t>
      </w:r>
      <w:r>
        <w:rPr>
          <w:rFonts w:asciiTheme="majorHAnsi" w:eastAsia="MS Mincho" w:hAnsiTheme="majorHAnsi" w:cstheme="majorHAnsi"/>
          <w:szCs w:val="24"/>
          <w:lang w:val="fr"/>
        </w:rPr>
        <w:t xml:space="preserve"> Confirmer que ces coûts imputés à la subvention concordent avec les hypothèses budgétaires approuvées par le Fonds mondial et appuyées sur des contrats, des relevés de paie et des dossiers valides. </w:t>
      </w:r>
    </w:p>
    <w:p w14:paraId="6312DA6D" w14:textId="7546D4F4" w:rsidR="00382C10" w:rsidRPr="0003530F" w:rsidRDefault="00382C10" w:rsidP="00382C10">
      <w:pPr>
        <w:numPr>
          <w:ilvl w:val="0"/>
          <w:numId w:val="40"/>
        </w:numPr>
        <w:spacing w:before="0" w:after="120" w:line="240" w:lineRule="auto"/>
        <w:jc w:val="both"/>
        <w:rPr>
          <w:rFonts w:asciiTheme="majorHAnsi" w:eastAsia="MS Mincho" w:hAnsiTheme="majorHAnsi" w:cstheme="majorHAnsi"/>
          <w:szCs w:val="24"/>
          <w:lang w:val="fr-FR"/>
        </w:rPr>
      </w:pPr>
      <w:r>
        <w:rPr>
          <w:rFonts w:asciiTheme="majorHAnsi" w:eastAsia="MS Mincho" w:hAnsiTheme="majorHAnsi" w:cstheme="majorHAnsi"/>
          <w:b/>
          <w:bCs/>
          <w:noProof/>
          <w:szCs w:val="24"/>
          <w:lang w:val="fr"/>
        </w:rPr>
        <w:t>Frais de déplacement et frais connexes.</w:t>
      </w:r>
      <w:r>
        <w:rPr>
          <w:rFonts w:asciiTheme="majorHAnsi" w:eastAsia="MS Mincho" w:hAnsiTheme="majorHAnsi" w:cstheme="majorHAnsi"/>
          <w:noProof/>
          <w:szCs w:val="24"/>
          <w:lang w:val="fr"/>
        </w:rPr>
        <w:t xml:space="preserve"> Vérifier les frais de déplacement et de transport pour déterminer s’ils concordent avec les hypothèses budgétaires approuvées par le Fonds mondial et sont appuyés et approuvés conformément aux politiques du maître d’œuvre.</w:t>
      </w:r>
      <w:r>
        <w:rPr>
          <w:rFonts w:asciiTheme="majorHAnsi" w:eastAsia="MS Mincho" w:hAnsiTheme="majorHAnsi" w:cstheme="majorHAnsi"/>
          <w:szCs w:val="24"/>
          <w:lang w:val="fr"/>
        </w:rPr>
        <w:t xml:space="preserve">  </w:t>
      </w:r>
    </w:p>
    <w:p w14:paraId="12FB4B49" w14:textId="39649824" w:rsidR="00FA549F" w:rsidRPr="0003530F" w:rsidRDefault="009171CA" w:rsidP="009171CA">
      <w:pPr>
        <w:numPr>
          <w:ilvl w:val="0"/>
          <w:numId w:val="40"/>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b/>
          <w:bCs/>
          <w:noProof/>
          <w:lang w:val="fr"/>
        </w:rPr>
        <w:t xml:space="preserve">Portée additionnelle. </w:t>
      </w:r>
      <w:r>
        <w:rPr>
          <w:rFonts w:asciiTheme="majorHAnsi" w:eastAsia="Calibri" w:hAnsiTheme="majorHAnsi" w:cstheme="majorHAnsi"/>
          <w:noProof/>
          <w:lang w:val="fr"/>
        </w:rPr>
        <w:t xml:space="preserve">À la demande du Fonds mondial, les auditeurs peuvent également être appelés à vérifier tout autre sujet de préoccupation, auquel cas la modification de la portée de l’audit aura fait l’objet d’un accord préalable entre le Fonds mondial et les auditeurs. </w:t>
      </w:r>
    </w:p>
    <w:p w14:paraId="03B743C7" w14:textId="30ACB70A" w:rsidR="009171CA" w:rsidRPr="0003530F" w:rsidRDefault="00AD2F00" w:rsidP="00FA549F">
      <w:pPr>
        <w:pStyle w:val="ListParagraph"/>
        <w:numPr>
          <w:ilvl w:val="0"/>
          <w:numId w:val="61"/>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[Préciser le sujet, s’il y en a]</w:t>
      </w:r>
    </w:p>
    <w:p w14:paraId="1B5EBDEB" w14:textId="7C86C869" w:rsidR="00BD30C2" w:rsidRPr="0003530F" w:rsidRDefault="00BD30C2" w:rsidP="00A30A41">
      <w:pPr>
        <w:pStyle w:val="ListParagraph"/>
        <w:numPr>
          <w:ilvl w:val="0"/>
          <w:numId w:val="61"/>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[Préciser le sujet, s’il y en a]</w:t>
      </w:r>
    </w:p>
    <w:p w14:paraId="256AEC1C" w14:textId="50AACA4F" w:rsidR="00382C10" w:rsidRPr="007D0506" w:rsidRDefault="00382C10" w:rsidP="00382C10">
      <w:pPr>
        <w:keepNext/>
        <w:keepLines/>
        <w:numPr>
          <w:ilvl w:val="0"/>
          <w:numId w:val="29"/>
        </w:numPr>
        <w:spacing w:before="240" w:after="120" w:line="240" w:lineRule="auto"/>
        <w:outlineLvl w:val="0"/>
        <w:rPr>
          <w:rFonts w:asciiTheme="majorHAnsi" w:eastAsia="MS Gothic" w:hAnsiTheme="majorHAnsi" w:cstheme="majorHAnsi"/>
          <w:b/>
          <w:bCs/>
          <w:sz w:val="24"/>
          <w:szCs w:val="28"/>
        </w:rPr>
      </w:pPr>
      <w:bookmarkStart w:id="89" w:name="_Toc101550404"/>
      <w:bookmarkStart w:id="90" w:name="_Toc101541017"/>
      <w:bookmarkStart w:id="91" w:name="_Toc101540577"/>
      <w:bookmarkStart w:id="92" w:name="_Toc101540447"/>
      <w:bookmarkStart w:id="93" w:name="_Toc101540348"/>
      <w:bookmarkStart w:id="94" w:name="_Toc101540297"/>
      <w:bookmarkStart w:id="95" w:name="_Toc101540239"/>
      <w:bookmarkStart w:id="96" w:name="_Toc101540058"/>
      <w:bookmarkStart w:id="97" w:name="_Toc101539153"/>
      <w:bookmarkStart w:id="98" w:name="_Toc101538302"/>
      <w:bookmarkStart w:id="99" w:name="_Toc100821738"/>
      <w:bookmarkStart w:id="100" w:name="_Toc100559992"/>
      <w:bookmarkStart w:id="101" w:name="_Toc101550403"/>
      <w:bookmarkStart w:id="102" w:name="_Toc101541016"/>
      <w:bookmarkStart w:id="103" w:name="_Toc101540576"/>
      <w:bookmarkStart w:id="104" w:name="_Toc101540446"/>
      <w:bookmarkStart w:id="105" w:name="_Toc101540347"/>
      <w:bookmarkStart w:id="106" w:name="_Toc101540296"/>
      <w:bookmarkStart w:id="107" w:name="_Toc101540238"/>
      <w:bookmarkStart w:id="108" w:name="_Toc101540057"/>
      <w:bookmarkStart w:id="109" w:name="_Toc101539152"/>
      <w:bookmarkStart w:id="110" w:name="_Toc101538301"/>
      <w:bookmarkStart w:id="111" w:name="_Toc100821737"/>
      <w:bookmarkStart w:id="112" w:name="_Toc100559991"/>
      <w:bookmarkStart w:id="113" w:name="_Toc5026417"/>
      <w:bookmarkStart w:id="114" w:name="_Toc19971616"/>
      <w:bookmarkStart w:id="115" w:name="_Toc19971782"/>
      <w:bookmarkStart w:id="116" w:name="_Toc19971948"/>
      <w:bookmarkStart w:id="117" w:name="_Toc19972114"/>
      <w:bookmarkStart w:id="118" w:name="_Toc19972280"/>
      <w:bookmarkStart w:id="119" w:name="_Toc19972446"/>
      <w:bookmarkStart w:id="120" w:name="_Toc20466640"/>
      <w:bookmarkStart w:id="121" w:name="_Toc103940827"/>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heme="majorHAnsi" w:eastAsia="MS Gothic" w:hAnsiTheme="majorHAnsi" w:cstheme="majorHAnsi"/>
          <w:b/>
          <w:bCs/>
          <w:sz w:val="24"/>
          <w:szCs w:val="28"/>
          <w:lang w:val="fr"/>
        </w:rPr>
        <w:t>Procédures d’audit</w:t>
      </w:r>
      <w:bookmarkEnd w:id="113"/>
      <w:bookmarkEnd w:id="114"/>
      <w:bookmarkEnd w:id="115"/>
      <w:bookmarkEnd w:id="116"/>
      <w:bookmarkEnd w:id="117"/>
      <w:bookmarkEnd w:id="118"/>
      <w:bookmarkEnd w:id="119"/>
      <w:bookmarkEnd w:id="120"/>
      <w:bookmarkEnd w:id="121"/>
    </w:p>
    <w:p w14:paraId="11F0BA4D" w14:textId="543F86AF" w:rsidR="00382C10" w:rsidRPr="00382C10" w:rsidRDefault="00382C10" w:rsidP="00382C10">
      <w:pPr>
        <w:keepNext/>
        <w:keepLines/>
        <w:numPr>
          <w:ilvl w:val="1"/>
          <w:numId w:val="43"/>
        </w:numPr>
        <w:spacing w:before="240" w:after="120" w:line="240" w:lineRule="auto"/>
        <w:outlineLvl w:val="0"/>
        <w:rPr>
          <w:rFonts w:asciiTheme="majorHAnsi" w:eastAsia="MS Gothic" w:hAnsiTheme="majorHAnsi" w:cstheme="majorHAnsi"/>
          <w:b/>
          <w:bCs/>
          <w:sz w:val="24"/>
          <w:szCs w:val="26"/>
        </w:rPr>
      </w:pPr>
      <w:bookmarkStart w:id="122" w:name="_Toc5026418"/>
      <w:bookmarkStart w:id="123" w:name="_Toc19971617"/>
      <w:bookmarkStart w:id="124" w:name="_Toc19971783"/>
      <w:bookmarkStart w:id="125" w:name="_Toc19971949"/>
      <w:bookmarkStart w:id="126" w:name="_Toc19972115"/>
      <w:bookmarkStart w:id="127" w:name="_Toc19972281"/>
      <w:bookmarkStart w:id="128" w:name="_Toc19972447"/>
      <w:bookmarkStart w:id="129" w:name="_Toc20466641"/>
      <w:bookmarkStart w:id="130" w:name="_Toc103940828"/>
      <w:r>
        <w:rPr>
          <w:rFonts w:asciiTheme="majorHAnsi" w:eastAsia="MS Gothic" w:hAnsiTheme="majorHAnsi" w:cstheme="majorHAnsi"/>
          <w:b/>
          <w:bCs/>
          <w:noProof/>
          <w:color w:val="000000"/>
          <w:sz w:val="24"/>
          <w:szCs w:val="28"/>
          <w:lang w:val="fr"/>
        </w:rPr>
        <w:t>Planification</w:t>
      </w:r>
      <w:bookmarkEnd w:id="122"/>
      <w:bookmarkEnd w:id="123"/>
      <w:bookmarkEnd w:id="124"/>
      <w:bookmarkEnd w:id="125"/>
      <w:bookmarkEnd w:id="126"/>
      <w:bookmarkEnd w:id="127"/>
      <w:bookmarkEnd w:id="128"/>
      <w:bookmarkEnd w:id="129"/>
      <w:bookmarkEnd w:id="130"/>
    </w:p>
    <w:p w14:paraId="5B27E46D" w14:textId="34A0A395" w:rsidR="00382C10" w:rsidRPr="0003530F" w:rsidRDefault="00382C10" w:rsidP="00A30A41">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fr-FR"/>
        </w:rPr>
      </w:pPr>
      <w:bookmarkStart w:id="131" w:name="_Toc5026419"/>
      <w:bookmarkStart w:id="132" w:name="_Toc19971618"/>
      <w:bookmarkStart w:id="133" w:name="_Toc19971784"/>
      <w:bookmarkStart w:id="134" w:name="_Toc19971950"/>
      <w:bookmarkStart w:id="135" w:name="_Toc19972116"/>
      <w:bookmarkStart w:id="136" w:name="_Toc19972282"/>
      <w:bookmarkStart w:id="137" w:name="_Toc19972448"/>
      <w:bookmarkStart w:id="138" w:name="_Toc20466642"/>
      <w:bookmarkStart w:id="139" w:name="_Toc103940829"/>
      <w:r>
        <w:rPr>
          <w:rFonts w:asciiTheme="majorHAnsi" w:eastAsia="MS Gothic" w:hAnsiTheme="majorHAnsi" w:cstheme="majorHAnsi"/>
          <w:b/>
          <w:bCs/>
          <w:noProof/>
          <w:szCs w:val="24"/>
          <w:lang w:val="fr"/>
        </w:rPr>
        <w:t>Réunion de lancement avec le récipiendaire principal</w:t>
      </w:r>
      <w:bookmarkEnd w:id="131"/>
      <w:bookmarkEnd w:id="132"/>
      <w:bookmarkEnd w:id="133"/>
      <w:bookmarkEnd w:id="134"/>
      <w:bookmarkEnd w:id="135"/>
      <w:bookmarkEnd w:id="136"/>
      <w:bookmarkEnd w:id="137"/>
      <w:bookmarkEnd w:id="138"/>
      <w:bookmarkEnd w:id="139"/>
    </w:p>
    <w:p w14:paraId="24731C3D" w14:textId="77777777" w:rsidR="00382C10" w:rsidRPr="0003530F" w:rsidRDefault="00382C10" w:rsidP="00382C10">
      <w:pPr>
        <w:numPr>
          <w:ilvl w:val="0"/>
          <w:numId w:val="36"/>
        </w:numPr>
        <w:spacing w:before="0" w:after="120" w:line="240" w:lineRule="auto"/>
        <w:ind w:right="26"/>
        <w:jc w:val="both"/>
        <w:rPr>
          <w:rFonts w:asciiTheme="majorHAnsi" w:eastAsia="Calibri" w:hAnsiTheme="majorHAnsi" w:cstheme="majorHAnsi"/>
          <w:lang w:val="fr-FR"/>
        </w:rPr>
      </w:pPr>
      <w:r>
        <w:rPr>
          <w:rFonts w:asciiTheme="majorHAnsi" w:eastAsia="Calibri" w:hAnsiTheme="majorHAnsi" w:cstheme="majorHAnsi"/>
          <w:lang w:val="fr"/>
        </w:rPr>
        <w:t xml:space="preserve">Pour chaque subvention, l’auditeur organisera une réunion de lancement avec le récipiendaire principal et l’agent fiscal/fiduciaire, le cas échéant, </w:t>
      </w:r>
      <w:r>
        <w:rPr>
          <w:rFonts w:asciiTheme="majorHAnsi" w:eastAsia="Calibri" w:hAnsiTheme="majorHAnsi" w:cstheme="majorHAnsi"/>
          <w:noProof/>
          <w:lang w:val="fr"/>
        </w:rPr>
        <w:t>pour discuter et expliquer la planification, le travail sur les lieux et l’établissement des rapports. L’auditeur expliquera la nature, les objectifs et la portée de l’audit.</w:t>
      </w:r>
      <w:r>
        <w:rPr>
          <w:rFonts w:asciiTheme="majorHAnsi" w:eastAsia="Calibri" w:hAnsiTheme="majorHAnsi" w:cstheme="majorHAnsi"/>
          <w:lang w:val="fr"/>
        </w:rPr>
        <w:t xml:space="preserve"> </w:t>
      </w:r>
    </w:p>
    <w:p w14:paraId="6F0F268D" w14:textId="24F59023"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Lors des réunions préparatoires et de </w:t>
      </w:r>
      <w:r>
        <w:rPr>
          <w:rFonts w:asciiTheme="majorHAnsi" w:eastAsia="Calibri" w:hAnsiTheme="majorHAnsi" w:cstheme="majorHAnsi"/>
          <w:noProof/>
          <w:lang w:val="fr"/>
        </w:rPr>
        <w:t>lancement</w:t>
      </w:r>
      <w:r>
        <w:rPr>
          <w:rFonts w:asciiTheme="majorHAnsi" w:eastAsia="Calibri" w:hAnsiTheme="majorHAnsi" w:cstheme="majorHAnsi"/>
          <w:lang w:val="fr"/>
        </w:rPr>
        <w:t xml:space="preserve">, </w:t>
      </w:r>
      <w:r>
        <w:rPr>
          <w:rFonts w:asciiTheme="majorHAnsi" w:eastAsia="Calibri" w:hAnsiTheme="majorHAnsi" w:cstheme="majorHAnsi"/>
          <w:noProof/>
          <w:lang w:val="fr"/>
        </w:rPr>
        <w:t>l’auditeur peut demander des informations et des documents supplémentaires qu’il juge nécessaires ou utiles à la planification de l’audit et du travail sur les lieux. L’auditeur peut contacter</w:t>
      </w:r>
      <w:r>
        <w:rPr>
          <w:rFonts w:asciiTheme="majorHAnsi" w:eastAsia="Calibri" w:hAnsiTheme="majorHAnsi" w:cstheme="majorHAnsi"/>
          <w:lang w:val="fr"/>
        </w:rPr>
        <w:t xml:space="preserve"> directement le récipiendaire principal pour obtenir ces informations. Pour tous les pays de la catégorie « ciblé », la présence de l’agent local du Fonds est obligatoire. Dans le cas des pays des catégories « à fort impact » et « essentiel », soit l’agent local du Fonds ou soit le spécialiste financier doit participer.</w:t>
      </w:r>
    </w:p>
    <w:p w14:paraId="3346D99F"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40177FE7" w14:textId="176BC8B4" w:rsidR="00382C10" w:rsidRPr="0003530F" w:rsidRDefault="00382C10" w:rsidP="00A30A41">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fr-FR"/>
        </w:rPr>
      </w:pPr>
      <w:bookmarkStart w:id="140" w:name="_Toc5026420"/>
      <w:bookmarkStart w:id="141" w:name="_Toc19971619"/>
      <w:bookmarkStart w:id="142" w:name="_Toc19971785"/>
      <w:bookmarkStart w:id="143" w:name="_Toc19971951"/>
      <w:bookmarkStart w:id="144" w:name="_Toc19972117"/>
      <w:bookmarkStart w:id="145" w:name="_Toc19972283"/>
      <w:bookmarkStart w:id="146" w:name="_Toc19972449"/>
      <w:bookmarkStart w:id="147" w:name="_Toc20466643"/>
      <w:bookmarkStart w:id="148" w:name="_Toc103940830"/>
      <w:r>
        <w:rPr>
          <w:rFonts w:asciiTheme="majorHAnsi" w:eastAsia="MS Gothic" w:hAnsiTheme="majorHAnsi" w:cstheme="majorHAnsi"/>
          <w:b/>
          <w:bCs/>
          <w:noProof/>
          <w:szCs w:val="24"/>
          <w:lang w:val="fr"/>
        </w:rPr>
        <w:t>Activités de planification, plan d’audit et programmes de travail d’audit</w:t>
      </w:r>
      <w:bookmarkEnd w:id="140"/>
      <w:bookmarkEnd w:id="141"/>
      <w:bookmarkEnd w:id="142"/>
      <w:bookmarkEnd w:id="143"/>
      <w:bookmarkEnd w:id="144"/>
      <w:bookmarkEnd w:id="145"/>
      <w:bookmarkEnd w:id="146"/>
      <w:bookmarkEnd w:id="147"/>
      <w:bookmarkEnd w:id="148"/>
    </w:p>
    <w:p w14:paraId="6092A445"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Pour chaque subvention, l’auditeur doit planifier </w:t>
      </w:r>
      <w:r>
        <w:rPr>
          <w:rFonts w:asciiTheme="majorHAnsi" w:eastAsia="Calibri" w:hAnsiTheme="majorHAnsi" w:cstheme="majorHAnsi"/>
          <w:noProof/>
          <w:lang w:val="fr"/>
        </w:rPr>
        <w:t xml:space="preserve">un audit </w:t>
      </w:r>
      <w:r>
        <w:rPr>
          <w:rFonts w:asciiTheme="majorHAnsi" w:eastAsia="Calibri" w:hAnsiTheme="majorHAnsi" w:cstheme="majorHAnsi"/>
          <w:lang w:val="fr"/>
        </w:rPr>
        <w:t>efficace</w:t>
      </w:r>
      <w:r>
        <w:rPr>
          <w:rFonts w:asciiTheme="majorHAnsi" w:eastAsia="Calibri" w:hAnsiTheme="majorHAnsi" w:cstheme="majorHAnsi"/>
          <w:noProof/>
          <w:lang w:val="fr"/>
        </w:rPr>
        <w:t xml:space="preserve"> et efficient. Une planification adéquate signifie de veiller à ce qu’une attention appropriée soit accordée aux domaines importants de l’audit, que les problèmes potentiels soient relevés et résolus en temps voulu et que</w:t>
      </w:r>
      <w:r>
        <w:rPr>
          <w:rFonts w:asciiTheme="majorHAnsi" w:eastAsia="Calibri" w:hAnsiTheme="majorHAnsi" w:cstheme="majorHAnsi"/>
          <w:lang w:val="fr"/>
        </w:rPr>
        <w:t xml:space="preserve"> l’audit soit correctement organisé et géré dans les délais impartis.</w:t>
      </w:r>
    </w:p>
    <w:p w14:paraId="74B4E5B9"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L’appréciation par l’auditeur de l’environnement de contrôle a une incidence</w:t>
      </w:r>
      <w:r>
        <w:rPr>
          <w:rFonts w:asciiTheme="majorHAnsi" w:eastAsia="Calibri" w:hAnsiTheme="majorHAnsi" w:cstheme="majorHAnsi"/>
          <w:lang w:val="fr"/>
        </w:rPr>
        <w:t xml:space="preserve"> sur l’évaluation des risques d’anomalies significatives au niveau des états financiers, et donc des réponses globales de l’auditeur. </w:t>
      </w:r>
    </w:p>
    <w:p w14:paraId="5ADDD14F"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L’auditeur dispose d’un plan d’audit reprenant la démarche de l’audit, ainsi que les principes fondamentaux relatifs à sa planification, au travail sur les lieux et à la communication de l’information. Il doit aussi définir un programme de travail qui détaille et documente les tests et les procédures d’audit. </w:t>
      </w:r>
    </w:p>
    <w:p w14:paraId="0AB39B25"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Avant d’entamer les travaux sur les lieux et avant la </w:t>
      </w:r>
      <w:r>
        <w:rPr>
          <w:rFonts w:asciiTheme="majorHAnsi" w:eastAsia="Calibri" w:hAnsiTheme="majorHAnsi" w:cstheme="majorHAnsi"/>
          <w:noProof/>
          <w:lang w:val="fr"/>
        </w:rPr>
        <w:t>réunion de lancement,</w:t>
      </w:r>
      <w:r>
        <w:rPr>
          <w:rFonts w:asciiTheme="majorHAnsi" w:eastAsia="Calibri" w:hAnsiTheme="majorHAnsi" w:cstheme="majorHAnsi"/>
          <w:lang w:val="fr"/>
        </w:rPr>
        <w:t xml:space="preserve"> l’auditeur </w:t>
      </w:r>
      <w:r>
        <w:rPr>
          <w:rFonts w:asciiTheme="majorHAnsi" w:eastAsia="Calibri" w:hAnsiTheme="majorHAnsi" w:cstheme="majorHAnsi"/>
          <w:noProof/>
          <w:lang w:val="fr"/>
        </w:rPr>
        <w:t>fournit</w:t>
      </w:r>
      <w:r>
        <w:rPr>
          <w:rFonts w:asciiTheme="majorHAnsi" w:eastAsia="Calibri" w:hAnsiTheme="majorHAnsi" w:cstheme="majorHAnsi"/>
          <w:lang w:val="fr"/>
        </w:rPr>
        <w:t xml:space="preserve"> au spécialiste financier</w:t>
      </w:r>
      <w:r>
        <w:rPr>
          <w:rFonts w:asciiTheme="majorHAnsi" w:eastAsia="Calibri" w:hAnsiTheme="majorHAnsi" w:cstheme="majorHAnsi"/>
          <w:vertAlign w:val="superscript"/>
          <w:lang w:val="fr"/>
        </w:rPr>
        <w:footnoteReference w:id="15"/>
      </w:r>
      <w:r>
        <w:rPr>
          <w:rFonts w:asciiTheme="majorHAnsi" w:eastAsia="Calibri" w:hAnsiTheme="majorHAnsi" w:cstheme="majorHAnsi"/>
          <w:lang w:val="fr"/>
        </w:rPr>
        <w:t xml:space="preserve"> du Fonds mondial et au récipiendaire principal le plan d’audit pour chacune </w:t>
      </w:r>
      <w:r>
        <w:rPr>
          <w:rFonts w:asciiTheme="majorHAnsi" w:eastAsia="Calibri" w:hAnsiTheme="majorHAnsi" w:cstheme="majorHAnsi"/>
          <w:lang w:val="fr"/>
        </w:rPr>
        <w:lastRenderedPageBreak/>
        <w:t>des subventions, y compris la portée de l’examen. Une attention particulière sera accordée à la méthode d’audit chez le récipiendaire principal, mais également chez les sous-récipiendaires sélectionnés.</w:t>
      </w:r>
    </w:p>
    <w:p w14:paraId="27538CF2" w14:textId="64C9FD4B" w:rsidR="00382C10" w:rsidRPr="00382C10" w:rsidRDefault="006B6F27" w:rsidP="00382C10">
      <w:pPr>
        <w:keepNext/>
        <w:keepLines/>
        <w:numPr>
          <w:ilvl w:val="1"/>
          <w:numId w:val="43"/>
        </w:numPr>
        <w:spacing w:before="240" w:after="120" w:line="240" w:lineRule="auto"/>
        <w:outlineLvl w:val="0"/>
        <w:rPr>
          <w:rFonts w:asciiTheme="majorHAnsi" w:eastAsia="MS Gothic" w:hAnsiTheme="majorHAnsi" w:cstheme="majorHAnsi"/>
          <w:b/>
          <w:bCs/>
          <w:noProof/>
          <w:color w:val="000000"/>
          <w:sz w:val="24"/>
          <w:szCs w:val="28"/>
        </w:rPr>
      </w:pPr>
      <w:bookmarkStart w:id="149" w:name="_Toc103940831"/>
      <w:r>
        <w:rPr>
          <w:rFonts w:asciiTheme="majorHAnsi" w:eastAsia="MS Gothic" w:hAnsiTheme="majorHAnsi" w:cstheme="majorHAnsi"/>
          <w:b/>
          <w:bCs/>
          <w:noProof/>
          <w:color w:val="000000"/>
          <w:sz w:val="24"/>
          <w:szCs w:val="28"/>
          <w:lang w:val="fr"/>
        </w:rPr>
        <w:t>Seuil de Signification</w:t>
      </w:r>
      <w:bookmarkEnd w:id="149"/>
    </w:p>
    <w:p w14:paraId="4B52E3B9" w14:textId="3D34A51A"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L’auditeur doit appliquer un</w:t>
      </w:r>
      <w:r w:rsidR="000D6E6C">
        <w:rPr>
          <w:rFonts w:asciiTheme="majorHAnsi" w:eastAsia="Calibri" w:hAnsiTheme="majorHAnsi" w:cstheme="majorHAnsi"/>
          <w:noProof/>
          <w:lang w:val="fr"/>
        </w:rPr>
        <w:t xml:space="preserve"> seuil de signification</w:t>
      </w:r>
      <w:r>
        <w:rPr>
          <w:rFonts w:asciiTheme="majorHAnsi" w:eastAsia="Calibri" w:hAnsiTheme="majorHAnsi" w:cstheme="majorHAnsi"/>
          <w:noProof/>
          <w:lang w:val="fr"/>
        </w:rPr>
        <w:t xml:space="preserve"> et une approche fondée sur les risques pour détecter les erreurs et les anomalies significatives dans les dépenses et les recettes déclarées dans les </w:t>
      </w:r>
      <w:r>
        <w:rPr>
          <w:rFonts w:asciiTheme="majorHAnsi" w:eastAsia="Calibri" w:hAnsiTheme="majorHAnsi" w:cstheme="majorHAnsi"/>
          <w:lang w:val="fr"/>
        </w:rPr>
        <w:t xml:space="preserve">états financiers des subventions, </w:t>
      </w:r>
      <w:r>
        <w:rPr>
          <w:rFonts w:asciiTheme="majorHAnsi" w:eastAsia="Calibri" w:hAnsiTheme="majorHAnsi" w:cstheme="majorHAnsi"/>
          <w:noProof/>
          <w:lang w:val="fr"/>
        </w:rPr>
        <w:t>que celles-ci résultent d’une erreur ou d’une fraude.</w:t>
      </w:r>
    </w:p>
    <w:p w14:paraId="4FA8177A" w14:textId="65EB302B" w:rsidR="001058DC" w:rsidRPr="0003530F" w:rsidRDefault="001058DC" w:rsidP="00825DE6">
      <w:p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19. Aux fins </w:t>
      </w:r>
      <w:r w:rsidR="004053D6">
        <w:rPr>
          <w:rFonts w:asciiTheme="majorHAnsi" w:eastAsia="Calibri" w:hAnsiTheme="majorHAnsi" w:cstheme="majorHAnsi"/>
          <w:lang w:val="fr"/>
        </w:rPr>
        <w:t xml:space="preserve">des </w:t>
      </w:r>
      <w:r>
        <w:rPr>
          <w:rFonts w:asciiTheme="majorHAnsi" w:eastAsia="Calibri" w:hAnsiTheme="majorHAnsi" w:cstheme="majorHAnsi"/>
          <w:lang w:val="fr"/>
        </w:rPr>
        <w:t>présent</w:t>
      </w:r>
      <w:r w:rsidR="004053D6">
        <w:rPr>
          <w:rFonts w:asciiTheme="majorHAnsi" w:eastAsia="Calibri" w:hAnsiTheme="majorHAnsi" w:cstheme="majorHAnsi"/>
          <w:lang w:val="fr"/>
        </w:rPr>
        <w:t>s</w:t>
      </w:r>
      <w:r>
        <w:rPr>
          <w:rFonts w:asciiTheme="majorHAnsi" w:eastAsia="Calibri" w:hAnsiTheme="majorHAnsi" w:cstheme="majorHAnsi"/>
          <w:lang w:val="fr"/>
        </w:rPr>
        <w:t xml:space="preserve"> </w:t>
      </w:r>
      <w:r w:rsidR="004053D6">
        <w:rPr>
          <w:rFonts w:asciiTheme="majorHAnsi" w:eastAsia="Calibri" w:hAnsiTheme="majorHAnsi" w:cstheme="majorHAnsi"/>
          <w:lang w:val="fr"/>
        </w:rPr>
        <w:t xml:space="preserve">termes </w:t>
      </w:r>
      <w:r>
        <w:rPr>
          <w:rFonts w:asciiTheme="majorHAnsi" w:eastAsia="Calibri" w:hAnsiTheme="majorHAnsi" w:cstheme="majorHAnsi"/>
          <w:lang w:val="fr"/>
        </w:rPr>
        <w:t xml:space="preserve">de référence, l’auditeur doit utiliser les </w:t>
      </w:r>
      <w:r w:rsidR="001C036E">
        <w:rPr>
          <w:rFonts w:asciiTheme="majorHAnsi" w:eastAsia="Calibri" w:hAnsiTheme="majorHAnsi" w:cstheme="majorHAnsi"/>
          <w:lang w:val="fr"/>
        </w:rPr>
        <w:t>seuils de signification suivants</w:t>
      </w:r>
      <w:r>
        <w:rPr>
          <w:rFonts w:asciiTheme="majorHAnsi" w:eastAsia="Calibri" w:hAnsiTheme="majorHAnsi" w:cstheme="majorHAnsi"/>
          <w:lang w:val="fr"/>
        </w:rPr>
        <w:t xml:space="preserve"> </w:t>
      </w:r>
      <w:bookmarkStart w:id="150" w:name="_Hlk101786581"/>
      <w:r>
        <w:rPr>
          <w:rFonts w:asciiTheme="majorHAnsi" w:eastAsia="Calibri" w:hAnsiTheme="majorHAnsi" w:cstheme="majorHAnsi"/>
          <w:lang w:val="fr"/>
        </w:rPr>
        <w:t>pour évaluer les erreurs et les anomalies</w:t>
      </w:r>
      <w:bookmarkEnd w:id="150"/>
      <w:r>
        <w:rPr>
          <w:rFonts w:asciiTheme="majorHAnsi" w:eastAsia="Calibri" w:hAnsiTheme="majorHAnsi" w:cstheme="majorHAnsi"/>
          <w:lang w:val="fr"/>
        </w:rPr>
        <w:t xml:space="preserve">, ou pour déterminer si un constat de non-conformité est significatif. </w:t>
      </w:r>
    </w:p>
    <w:p w14:paraId="13F9ABB6" w14:textId="486C57BE" w:rsidR="001058DC" w:rsidRPr="0003530F" w:rsidRDefault="001058DC" w:rsidP="00825DE6">
      <w:pPr>
        <w:pStyle w:val="ListParagraph"/>
        <w:numPr>
          <w:ilvl w:val="0"/>
          <w:numId w:val="47"/>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Un seuil </w:t>
      </w:r>
      <w:r w:rsidR="001C036E">
        <w:rPr>
          <w:rFonts w:asciiTheme="majorHAnsi" w:eastAsia="Calibri" w:hAnsiTheme="majorHAnsi" w:cstheme="majorHAnsi"/>
          <w:lang w:val="fr"/>
        </w:rPr>
        <w:t>de signification</w:t>
      </w:r>
      <w:r>
        <w:rPr>
          <w:rFonts w:asciiTheme="majorHAnsi" w:eastAsia="Calibri" w:hAnsiTheme="majorHAnsi" w:cstheme="majorHAnsi"/>
          <w:lang w:val="fr"/>
        </w:rPr>
        <w:t xml:space="preserve"> correspondant à 2 % d</w:t>
      </w:r>
      <w:r w:rsidR="006D7BE2">
        <w:rPr>
          <w:rFonts w:asciiTheme="majorHAnsi" w:eastAsia="Calibri" w:hAnsiTheme="majorHAnsi" w:cstheme="majorHAnsi"/>
          <w:lang w:val="fr"/>
        </w:rPr>
        <w:t>u total</w:t>
      </w:r>
      <w:r>
        <w:rPr>
          <w:rFonts w:asciiTheme="majorHAnsi" w:eastAsia="Calibri" w:hAnsiTheme="majorHAnsi" w:cstheme="majorHAnsi"/>
          <w:lang w:val="fr"/>
        </w:rPr>
        <w:t xml:space="preserve"> des dépenses brutes déclarées, avec un degré de confiance de 95 % pour les portefeuilles de la catégorie « ciblé ».</w:t>
      </w:r>
    </w:p>
    <w:p w14:paraId="41E955B8" w14:textId="5EEFBA36" w:rsidR="008624D5" w:rsidRPr="0003530F" w:rsidRDefault="001058DC" w:rsidP="00825DE6">
      <w:pPr>
        <w:pStyle w:val="ListParagraph"/>
        <w:numPr>
          <w:ilvl w:val="0"/>
          <w:numId w:val="47"/>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Un seuil </w:t>
      </w:r>
      <w:r w:rsidR="006D7BE2">
        <w:rPr>
          <w:rFonts w:asciiTheme="majorHAnsi" w:eastAsia="Calibri" w:hAnsiTheme="majorHAnsi" w:cstheme="majorHAnsi"/>
          <w:lang w:val="fr"/>
        </w:rPr>
        <w:t>de signification</w:t>
      </w:r>
      <w:r>
        <w:rPr>
          <w:rFonts w:asciiTheme="majorHAnsi" w:eastAsia="Calibri" w:hAnsiTheme="majorHAnsi" w:cstheme="majorHAnsi"/>
          <w:lang w:val="fr"/>
        </w:rPr>
        <w:t xml:space="preserve"> correspondant à 2 % d</w:t>
      </w:r>
      <w:r w:rsidR="006D7BE2">
        <w:rPr>
          <w:rFonts w:asciiTheme="majorHAnsi" w:eastAsia="Calibri" w:hAnsiTheme="majorHAnsi" w:cstheme="majorHAnsi"/>
          <w:lang w:val="fr"/>
        </w:rPr>
        <w:t>u total</w:t>
      </w:r>
      <w:r>
        <w:rPr>
          <w:rFonts w:asciiTheme="majorHAnsi" w:eastAsia="Calibri" w:hAnsiTheme="majorHAnsi" w:cstheme="majorHAnsi"/>
          <w:lang w:val="fr"/>
        </w:rPr>
        <w:t xml:space="preserve"> des dépenses brutes déclarées, moins les dépenses dans le mécanisme d’achat groupé/Wambo, avec un degré de confiance de 95 % pour les portefeuilles des catégories « à fort impact » et « essentiel ».</w:t>
      </w:r>
    </w:p>
    <w:p w14:paraId="337F868E" w14:textId="2DC79FEE" w:rsidR="00382C10" w:rsidRPr="007C7F1E" w:rsidRDefault="00382C10" w:rsidP="00382C10">
      <w:pPr>
        <w:keepNext/>
        <w:keepLines/>
        <w:numPr>
          <w:ilvl w:val="1"/>
          <w:numId w:val="43"/>
        </w:numPr>
        <w:spacing w:before="240" w:after="120" w:line="240" w:lineRule="auto"/>
        <w:outlineLvl w:val="0"/>
        <w:rPr>
          <w:rFonts w:asciiTheme="majorHAnsi" w:eastAsia="MS Gothic" w:hAnsiTheme="majorHAnsi" w:cstheme="majorHAnsi"/>
          <w:b/>
          <w:bCs/>
          <w:noProof/>
          <w:sz w:val="24"/>
          <w:szCs w:val="28"/>
          <w:lang w:val="fr-FR"/>
        </w:rPr>
      </w:pPr>
      <w:bookmarkStart w:id="151" w:name="_Toc5026422"/>
      <w:bookmarkStart w:id="152" w:name="_Toc19971621"/>
      <w:bookmarkStart w:id="153" w:name="_Toc19971787"/>
      <w:bookmarkStart w:id="154" w:name="_Toc19971953"/>
      <w:bookmarkStart w:id="155" w:name="_Toc19972119"/>
      <w:bookmarkStart w:id="156" w:name="_Toc19972285"/>
      <w:bookmarkStart w:id="157" w:name="_Toc19972451"/>
      <w:bookmarkStart w:id="158" w:name="_Toc20466645"/>
      <w:bookmarkStart w:id="159" w:name="_Toc103940832"/>
      <w:r>
        <w:rPr>
          <w:rFonts w:asciiTheme="majorHAnsi" w:eastAsia="MS Gothic" w:hAnsiTheme="majorHAnsi" w:cstheme="majorHAnsi"/>
          <w:b/>
          <w:bCs/>
          <w:noProof/>
          <w:sz w:val="24"/>
          <w:szCs w:val="28"/>
          <w:lang w:val="fr"/>
        </w:rPr>
        <w:t>Trava</w:t>
      </w:r>
      <w:r w:rsidR="006242DB">
        <w:rPr>
          <w:rFonts w:asciiTheme="majorHAnsi" w:eastAsia="MS Gothic" w:hAnsiTheme="majorHAnsi" w:cstheme="majorHAnsi"/>
          <w:b/>
          <w:bCs/>
          <w:noProof/>
          <w:sz w:val="24"/>
          <w:szCs w:val="28"/>
          <w:lang w:val="fr"/>
        </w:rPr>
        <w:t>ux terrain</w:t>
      </w:r>
      <w:bookmarkEnd w:id="151"/>
      <w:bookmarkEnd w:id="152"/>
      <w:bookmarkEnd w:id="153"/>
      <w:bookmarkEnd w:id="154"/>
      <w:bookmarkEnd w:id="155"/>
      <w:bookmarkEnd w:id="156"/>
      <w:bookmarkEnd w:id="157"/>
      <w:bookmarkEnd w:id="158"/>
      <w:bookmarkEnd w:id="159"/>
    </w:p>
    <w:p w14:paraId="3E59C8C2" w14:textId="5DF0DE04" w:rsidR="00382C10" w:rsidRPr="0003530F"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fr-FR"/>
        </w:rPr>
      </w:pPr>
      <w:bookmarkStart w:id="160" w:name="_Toc5026423"/>
      <w:bookmarkStart w:id="161" w:name="_Toc19971622"/>
      <w:bookmarkStart w:id="162" w:name="_Toc19971788"/>
      <w:bookmarkStart w:id="163" w:name="_Toc19971954"/>
      <w:bookmarkStart w:id="164" w:name="_Toc19972120"/>
      <w:bookmarkStart w:id="165" w:name="_Toc19972286"/>
      <w:bookmarkStart w:id="166" w:name="_Toc19972452"/>
      <w:bookmarkStart w:id="167" w:name="_Toc20466646"/>
      <w:r>
        <w:rPr>
          <w:rFonts w:asciiTheme="majorHAnsi" w:eastAsia="MS Gothic" w:hAnsiTheme="majorHAnsi" w:cstheme="majorHAnsi"/>
          <w:b/>
          <w:bCs/>
          <w:noProof/>
          <w:szCs w:val="24"/>
          <w:lang w:val="fr"/>
        </w:rPr>
        <w:t xml:space="preserve"> </w:t>
      </w:r>
      <w:bookmarkStart w:id="168" w:name="_Toc103940833"/>
      <w:r>
        <w:rPr>
          <w:rFonts w:asciiTheme="majorHAnsi" w:eastAsia="MS Gothic" w:hAnsiTheme="majorHAnsi" w:cstheme="majorHAnsi"/>
          <w:b/>
          <w:bCs/>
          <w:noProof/>
          <w:szCs w:val="24"/>
          <w:lang w:val="fr"/>
        </w:rPr>
        <w:t>Obtention d’éléments probants concernant la conception des contrôles et la réalisation de tests des contrôles</w:t>
      </w:r>
      <w:bookmarkEnd w:id="160"/>
      <w:bookmarkEnd w:id="161"/>
      <w:bookmarkEnd w:id="162"/>
      <w:bookmarkEnd w:id="163"/>
      <w:bookmarkEnd w:id="164"/>
      <w:bookmarkEnd w:id="165"/>
      <w:bookmarkEnd w:id="166"/>
      <w:bookmarkEnd w:id="167"/>
      <w:bookmarkEnd w:id="168"/>
    </w:p>
    <w:p w14:paraId="157785C8"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L’auditeur</w:t>
      </w:r>
      <w:r>
        <w:rPr>
          <w:rFonts w:asciiTheme="majorHAnsi" w:eastAsia="Calibri" w:hAnsiTheme="majorHAnsi" w:cstheme="majorHAnsi"/>
          <w:lang w:val="fr"/>
        </w:rPr>
        <w:t xml:space="preserve"> mettra </w:t>
      </w:r>
      <w:r>
        <w:rPr>
          <w:rFonts w:asciiTheme="majorHAnsi" w:eastAsia="Calibri" w:hAnsiTheme="majorHAnsi" w:cstheme="majorHAnsi"/>
          <w:noProof/>
          <w:lang w:val="fr"/>
        </w:rPr>
        <w:t>en œuvre des procédures pour obtenir des éléments probants concernant la conception des contrôles et procédera à des tests des contrôles s’il le juge approprié ou nécessaire aux fins du présent audit financier.</w:t>
      </w:r>
    </w:p>
    <w:p w14:paraId="25541230"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L’auditeur concentrera les tests des contrôles sur les contrôles financiers clés qui se rapportent aux sujets décrits</w:t>
      </w:r>
      <w:r>
        <w:rPr>
          <w:rFonts w:asciiTheme="majorHAnsi" w:eastAsia="Calibri" w:hAnsiTheme="majorHAnsi" w:cstheme="majorHAnsi"/>
          <w:noProof/>
          <w:lang w:val="fr"/>
        </w:rPr>
        <w:t xml:space="preserve"> dans le cadre de référence </w:t>
      </w:r>
      <w:r>
        <w:rPr>
          <w:rFonts w:asciiTheme="majorHAnsi" w:eastAsia="Calibri" w:hAnsiTheme="majorHAnsi" w:cstheme="majorHAnsi"/>
          <w:lang w:val="fr"/>
        </w:rPr>
        <w:t xml:space="preserve">et qui sont pertinents pour la gestion des risques. </w:t>
      </w:r>
      <w:r>
        <w:rPr>
          <w:rFonts w:asciiTheme="majorHAnsi" w:eastAsia="Calibri" w:hAnsiTheme="majorHAnsi" w:cstheme="majorHAnsi"/>
          <w:noProof/>
          <w:lang w:val="fr"/>
        </w:rPr>
        <w:t xml:space="preserve">Les constatations de faiblesses et de défaillances importantes dans la conception ou l’efficacité opérationnelle des contrôles du </w:t>
      </w:r>
      <w:r>
        <w:rPr>
          <w:rFonts w:asciiTheme="majorHAnsi" w:eastAsia="Calibri" w:hAnsiTheme="majorHAnsi" w:cstheme="majorHAnsi"/>
          <w:lang w:val="fr"/>
        </w:rPr>
        <w:t>récipiendaire principal seront consignées dans la lettre de recommandation.</w:t>
      </w:r>
    </w:p>
    <w:p w14:paraId="254A8EAF"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Pour les pays des catégories « à fort impact », « essentiel » et un certain nombre de pays « ciblés » à </w:t>
      </w:r>
      <w:r>
        <w:rPr>
          <w:rFonts w:asciiTheme="majorHAnsi" w:eastAsia="Calibri" w:hAnsiTheme="majorHAnsi" w:cstheme="majorHAnsi"/>
          <w:noProof/>
          <w:lang w:val="fr"/>
        </w:rPr>
        <w:t>haut risque</w:t>
      </w:r>
      <w:r>
        <w:rPr>
          <w:rFonts w:asciiTheme="majorHAnsi" w:eastAsia="Calibri" w:hAnsiTheme="majorHAnsi" w:cstheme="majorHAnsi"/>
          <w:lang w:val="fr"/>
        </w:rPr>
        <w:t xml:space="preserve">, l’audit </w:t>
      </w:r>
      <w:r>
        <w:rPr>
          <w:rFonts w:asciiTheme="majorHAnsi" w:eastAsia="Calibri" w:hAnsiTheme="majorHAnsi" w:cstheme="majorHAnsi"/>
          <w:b/>
          <w:bCs/>
          <w:lang w:val="fr"/>
        </w:rPr>
        <w:t xml:space="preserve">doit </w:t>
      </w:r>
      <w:r>
        <w:rPr>
          <w:rFonts w:asciiTheme="majorHAnsi" w:eastAsia="Calibri" w:hAnsiTheme="majorHAnsi" w:cstheme="majorHAnsi"/>
          <w:lang w:val="fr"/>
        </w:rPr>
        <w:t xml:space="preserve">examiner le cadre de contrôle interne (financier et programmatique) du récipiendaire principal et des sous-récipiendaires clés identifiés par l’équipe pays du Fonds mondial en consultation avec le récipiendaire principal et en rendre compte. À la discrétion de l’équipe de pays, de tels examens pourraient </w:t>
      </w:r>
      <w:r>
        <w:rPr>
          <w:rFonts w:asciiTheme="majorHAnsi" w:eastAsia="Calibri" w:hAnsiTheme="majorHAnsi" w:cstheme="majorHAnsi"/>
          <w:noProof/>
          <w:lang w:val="fr"/>
        </w:rPr>
        <w:t>être effectués</w:t>
      </w:r>
      <w:r>
        <w:rPr>
          <w:rFonts w:asciiTheme="majorHAnsi" w:eastAsia="Calibri" w:hAnsiTheme="majorHAnsi" w:cstheme="majorHAnsi"/>
          <w:lang w:val="fr"/>
        </w:rPr>
        <w:t xml:space="preserve"> lors d’un </w:t>
      </w:r>
      <w:r>
        <w:rPr>
          <w:rFonts w:asciiTheme="majorHAnsi" w:eastAsia="Calibri" w:hAnsiTheme="majorHAnsi" w:cstheme="majorHAnsi"/>
          <w:b/>
          <w:bCs/>
          <w:lang w:val="fr"/>
        </w:rPr>
        <w:t>audit intermédiaire</w:t>
      </w:r>
      <w:r>
        <w:rPr>
          <w:rFonts w:asciiTheme="majorHAnsi" w:eastAsia="Calibri" w:hAnsiTheme="majorHAnsi" w:cstheme="majorHAnsi"/>
          <w:lang w:val="fr"/>
        </w:rPr>
        <w:t xml:space="preserve"> dans les locaux du récipiendaire principal.</w:t>
      </w:r>
    </w:p>
    <w:p w14:paraId="085DC63F" w14:textId="65EE9E54" w:rsidR="00382C10" w:rsidRPr="007D0506"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rPr>
      </w:pPr>
      <w:bookmarkStart w:id="169" w:name="_Toc101550412"/>
      <w:bookmarkStart w:id="170" w:name="_Toc101541025"/>
      <w:bookmarkStart w:id="171" w:name="_Toc101540585"/>
      <w:bookmarkStart w:id="172" w:name="_Toc101540455"/>
      <w:bookmarkStart w:id="173" w:name="_Toc101540356"/>
      <w:bookmarkStart w:id="174" w:name="_Toc101540305"/>
      <w:bookmarkStart w:id="175" w:name="_Toc101540247"/>
      <w:bookmarkStart w:id="176" w:name="_Toc101540066"/>
      <w:bookmarkStart w:id="177" w:name="_Toc101539161"/>
      <w:bookmarkStart w:id="178" w:name="_Toc101538310"/>
      <w:bookmarkStart w:id="179" w:name="_Toc100821746"/>
      <w:bookmarkStart w:id="180" w:name="_Toc100560000"/>
      <w:bookmarkStart w:id="181" w:name="_Toc5026424"/>
      <w:bookmarkStart w:id="182" w:name="_Toc19971623"/>
      <w:bookmarkStart w:id="183" w:name="_Toc19971789"/>
      <w:bookmarkStart w:id="184" w:name="_Toc19971955"/>
      <w:bookmarkStart w:id="185" w:name="_Toc19972121"/>
      <w:bookmarkStart w:id="186" w:name="_Toc19972287"/>
      <w:bookmarkStart w:id="187" w:name="_Toc19972453"/>
      <w:bookmarkStart w:id="188" w:name="_Toc20466647"/>
      <w:bookmarkStart w:id="189" w:name="_Toc103940834"/>
      <w:bookmarkEnd w:id="169"/>
      <w:bookmarkEnd w:id="170"/>
      <w:bookmarkEnd w:id="171"/>
      <w:bookmarkEnd w:id="172"/>
      <w:bookmarkEnd w:id="173"/>
      <w:bookmarkEnd w:id="174"/>
      <w:bookmarkEnd w:id="175"/>
      <w:bookmarkEnd w:id="176"/>
      <w:bookmarkEnd w:id="177"/>
      <w:bookmarkEnd w:id="178"/>
      <w:bookmarkEnd w:id="179"/>
      <w:bookmarkEnd w:id="180"/>
      <w:r>
        <w:rPr>
          <w:rFonts w:asciiTheme="majorHAnsi" w:eastAsia="MS Gothic" w:hAnsiTheme="majorHAnsi" w:cstheme="majorHAnsi"/>
          <w:b/>
          <w:bCs/>
          <w:noProof/>
          <w:szCs w:val="24"/>
          <w:lang w:val="fr"/>
        </w:rPr>
        <w:t>Procédures substantives</w:t>
      </w:r>
      <w:bookmarkEnd w:id="181"/>
      <w:bookmarkEnd w:id="182"/>
      <w:bookmarkEnd w:id="183"/>
      <w:bookmarkEnd w:id="184"/>
      <w:bookmarkEnd w:id="185"/>
      <w:bookmarkEnd w:id="186"/>
      <w:bookmarkEnd w:id="187"/>
      <w:bookmarkEnd w:id="188"/>
      <w:bookmarkEnd w:id="189"/>
    </w:p>
    <w:p w14:paraId="108B0C26"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 xml:space="preserve">L’auditeur doit mettre en œuvre des procédures substantives afin de tenir compte de son évaluation des risques d’erreurs ou d’inexactitudes significatives dans les dépenses et les recettes déclarées dans les </w:t>
      </w:r>
      <w:r>
        <w:rPr>
          <w:rFonts w:asciiTheme="majorHAnsi" w:eastAsia="Calibri" w:hAnsiTheme="majorHAnsi" w:cstheme="majorHAnsi"/>
          <w:lang w:val="fr"/>
        </w:rPr>
        <w:t>états financiers du programme de subventions</w:t>
      </w:r>
      <w:r>
        <w:rPr>
          <w:rFonts w:asciiTheme="majorHAnsi" w:eastAsia="Calibri" w:hAnsiTheme="majorHAnsi" w:cstheme="majorHAnsi"/>
          <w:noProof/>
          <w:lang w:val="fr"/>
        </w:rPr>
        <w:t xml:space="preserve">, qu’elles aient été causées par une erreur ou par une fraude. Les résultats des tests des contrôles, le cas échéant, doivent être pris en compte. L’auditeur doit exécuter les procédures substantives qui couvrent les sujets décrits dans le cadre de </w:t>
      </w:r>
      <w:r>
        <w:rPr>
          <w:rFonts w:asciiTheme="majorHAnsi" w:eastAsia="Calibri" w:hAnsiTheme="majorHAnsi" w:cstheme="majorHAnsi"/>
          <w:lang w:val="fr"/>
        </w:rPr>
        <w:t xml:space="preserve">référence </w:t>
      </w:r>
      <w:r>
        <w:rPr>
          <w:rFonts w:asciiTheme="majorHAnsi" w:eastAsia="Calibri" w:hAnsiTheme="majorHAnsi" w:cstheme="majorHAnsi"/>
          <w:noProof/>
          <w:lang w:val="fr"/>
        </w:rPr>
        <w:t>et qui sont pertinentes pour la gestion des risques</w:t>
      </w:r>
      <w:r>
        <w:rPr>
          <w:rFonts w:asciiTheme="majorHAnsi" w:eastAsia="Calibri" w:hAnsiTheme="majorHAnsi" w:cstheme="majorHAnsi"/>
          <w:noProof/>
          <w:vertAlign w:val="superscript"/>
          <w:lang w:val="fr"/>
        </w:rPr>
        <w:footnoteReference w:id="16"/>
      </w:r>
      <w:r>
        <w:rPr>
          <w:rFonts w:asciiTheme="majorHAnsi" w:eastAsia="Calibri" w:hAnsiTheme="majorHAnsi" w:cstheme="majorHAnsi"/>
          <w:noProof/>
          <w:lang w:val="fr"/>
        </w:rPr>
        <w:t>.</w:t>
      </w:r>
    </w:p>
    <w:p w14:paraId="415DB631"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bookmarkStart w:id="190" w:name="_Hlk5226491"/>
      <w:r>
        <w:rPr>
          <w:rFonts w:asciiTheme="majorHAnsi" w:eastAsia="Calibri" w:hAnsiTheme="majorHAnsi" w:cstheme="majorHAnsi"/>
          <w:noProof/>
          <w:lang w:val="fr"/>
        </w:rPr>
        <w:t>En ce qui concerne le risque de fraude, l’auditeur doit se conformer à la norme internationale d’audit ISA 240 sur les responsabilités de l’auditeur en matière de fraude dans le cadre d’un audit d’états financiers.</w:t>
      </w:r>
    </w:p>
    <w:bookmarkEnd w:id="190"/>
    <w:p w14:paraId="43234BF8"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3C263E96" w14:textId="26471658" w:rsidR="00382C10" w:rsidRPr="0003530F"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fr-FR"/>
        </w:rPr>
      </w:pPr>
      <w:bookmarkStart w:id="191" w:name="_Toc103940835"/>
      <w:r>
        <w:rPr>
          <w:rFonts w:asciiTheme="majorHAnsi" w:eastAsia="MS Gothic" w:hAnsiTheme="majorHAnsi" w:cstheme="majorHAnsi"/>
          <w:b/>
          <w:bCs/>
          <w:noProof/>
          <w:szCs w:val="24"/>
          <w:lang w:val="fr"/>
        </w:rPr>
        <w:lastRenderedPageBreak/>
        <w:t>Échantillonnage et autres moyens de sélection des éléments à tester</w:t>
      </w:r>
      <w:bookmarkEnd w:id="191"/>
    </w:p>
    <w:p w14:paraId="223BE400"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 xml:space="preserve">Lors de la conception et de la réalisation des tests des contrôles et des tests de détail, l’auditeur doit appliquer l’échantillonnage de vérification ou d’autres moyens de sélection des éléments à tester. L’échantillonnage d’audit fait intervenir l’application de procédures d’audit à moins de 100 % des éléments d’une population pertinente pour l’audit (par exemple, une catégorie d’opérations ou un solde de compte) de sorte que toutes les unités d’échantillonnage aient une chance d’être sélectionnées afin de fournir à l’auditeur une base raisonnable sur laquelle il pourra tirer des conclusions sur l’ensemble de la population. </w:t>
      </w:r>
    </w:p>
    <w:p w14:paraId="6EA68FDD"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 xml:space="preserve">L’échantillonnage d’audit peut utiliser une approche statistique ou non statistique. L’auditeur peut décider de choisir des éléments précis d’une population (par exemple, des éléments de grande valeur ou essentiels, tous les éléments supérieurs à un montant donné, des éléments permettant d’obtenir certaines informations ou des éléments pour tester des activités de contrôle). </w:t>
      </w:r>
    </w:p>
    <w:p w14:paraId="06EA1683"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Bien que l’examen sélectif d’éléments spécifiques soit souvent un moyen efficace d’obtenir des preuves, il ne constitue pas un échantillonnage. La projection sur l’ensemble de la population des résultats des procédures appliquées aux éléments sélectionnés de cette manière n’est pas possible ; par conséquent, l’examen sélectif d’éléments spécifiques ne fournit pas de preuves concernant le reste de la population. L’échantillonnage, en revanche, est conçu pour permettre de tirer des conclusions sur l’ensemble d’une population en testant un échantillon qui en est issu.</w:t>
      </w:r>
    </w:p>
    <w:p w14:paraId="5D6E5191" w14:textId="5F28931B" w:rsidR="00382C10" w:rsidRPr="0003530F" w:rsidRDefault="00382C10" w:rsidP="00A30A41">
      <w:pPr>
        <w:pStyle w:val="ListParagraph"/>
        <w:numPr>
          <w:ilvl w:val="0"/>
          <w:numId w:val="36"/>
        </w:numPr>
        <w:spacing w:before="0" w:after="120" w:line="240" w:lineRule="auto"/>
        <w:jc w:val="both"/>
        <w:rPr>
          <w:rFonts w:asciiTheme="majorHAnsi" w:eastAsia="Calibri" w:hAnsiTheme="majorHAnsi" w:cstheme="majorHAnsi"/>
          <w:noProof/>
          <w:lang w:val="fr-FR"/>
        </w:rPr>
      </w:pPr>
      <w:bookmarkStart w:id="192" w:name="_Hlk99707450"/>
      <w:r>
        <w:rPr>
          <w:rFonts w:asciiTheme="majorHAnsi" w:eastAsia="Calibri" w:hAnsiTheme="majorHAnsi" w:cstheme="majorHAnsi"/>
          <w:noProof/>
          <w:lang w:val="fr"/>
        </w:rPr>
        <w:t xml:space="preserve">L’auditeur </w:t>
      </w:r>
      <w:r>
        <w:rPr>
          <w:rFonts w:asciiTheme="majorHAnsi" w:eastAsia="Calibri" w:hAnsiTheme="majorHAnsi" w:cstheme="majorHAnsi"/>
          <w:b/>
          <w:bCs/>
          <w:noProof/>
          <w:lang w:val="fr"/>
        </w:rPr>
        <w:t>doit</w:t>
      </w:r>
      <w:r>
        <w:rPr>
          <w:rFonts w:asciiTheme="majorHAnsi" w:eastAsia="Calibri" w:hAnsiTheme="majorHAnsi" w:cstheme="majorHAnsi"/>
          <w:noProof/>
          <w:lang w:val="fr"/>
        </w:rPr>
        <w:t xml:space="preserve"> clairement fournir des détails sur la couverture des dépenses par groupe de coûts et par récipiendaire, ainsi que sur la méthode de sélection de l’échantillon.</w:t>
      </w:r>
      <w:bookmarkEnd w:id="192"/>
      <w:r>
        <w:rPr>
          <w:rFonts w:asciiTheme="majorHAnsi" w:eastAsia="Calibri" w:hAnsiTheme="majorHAnsi" w:cstheme="majorHAnsi"/>
          <w:noProof/>
          <w:lang w:val="fr"/>
        </w:rPr>
        <w:t xml:space="preserve"> Aux fins des présentes, les auditeurs doivent échantillonner chaque groupe de coûts se trouvant dans le budget récapitulatif de la subvention à l'examen. Aux fins de l’échantillonnage, l’auditeur doit employer les seuils adéquats, basés sur son évaluation des risques. L’annexe 3 </w:t>
      </w:r>
      <w:r w:rsidR="00F87EE9">
        <w:rPr>
          <w:rFonts w:asciiTheme="majorHAnsi" w:eastAsia="Calibri" w:hAnsiTheme="majorHAnsi" w:cstheme="majorHAnsi"/>
          <w:noProof/>
          <w:lang w:val="fr"/>
        </w:rPr>
        <w:t>des présents termes</w:t>
      </w:r>
      <w:r>
        <w:rPr>
          <w:rFonts w:asciiTheme="majorHAnsi" w:eastAsia="Calibri" w:hAnsiTheme="majorHAnsi" w:cstheme="majorHAnsi"/>
          <w:noProof/>
          <w:lang w:val="fr"/>
        </w:rPr>
        <w:t xml:space="preserve"> de référence doit être utilisée pour documenter ces informations.</w:t>
      </w:r>
    </w:p>
    <w:p w14:paraId="6C3C076F"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55F60C68" w14:textId="3F3E5649" w:rsidR="00382C10" w:rsidRPr="00382C10"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rPr>
      </w:pPr>
      <w:bookmarkStart w:id="193" w:name="_Toc5026425"/>
      <w:bookmarkStart w:id="194" w:name="_Toc19971624"/>
      <w:bookmarkStart w:id="195" w:name="_Toc19971790"/>
      <w:bookmarkStart w:id="196" w:name="_Toc19971956"/>
      <w:bookmarkStart w:id="197" w:name="_Toc19972122"/>
      <w:bookmarkStart w:id="198" w:name="_Toc19972288"/>
      <w:bookmarkStart w:id="199" w:name="_Toc19972454"/>
      <w:bookmarkStart w:id="200" w:name="_Toc20466648"/>
      <w:bookmarkStart w:id="201" w:name="_Toc103940836"/>
      <w:r>
        <w:rPr>
          <w:rFonts w:asciiTheme="majorHAnsi" w:eastAsia="MS Gothic" w:hAnsiTheme="majorHAnsi" w:cstheme="majorHAnsi"/>
          <w:b/>
          <w:bCs/>
          <w:noProof/>
          <w:szCs w:val="24"/>
          <w:lang w:val="fr"/>
        </w:rPr>
        <w:t>Procédures analytiques</w:t>
      </w:r>
      <w:bookmarkEnd w:id="193"/>
      <w:bookmarkEnd w:id="194"/>
      <w:bookmarkEnd w:id="195"/>
      <w:bookmarkEnd w:id="196"/>
      <w:bookmarkEnd w:id="197"/>
      <w:bookmarkEnd w:id="198"/>
      <w:bookmarkEnd w:id="199"/>
      <w:bookmarkEnd w:id="200"/>
      <w:bookmarkEnd w:id="201"/>
    </w:p>
    <w:p w14:paraId="5B46DEF3"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 xml:space="preserve">Les procédures analytiques doivent être effectuées par </w:t>
      </w:r>
      <w:r>
        <w:rPr>
          <w:rFonts w:asciiTheme="majorHAnsi" w:eastAsia="Calibri" w:hAnsiTheme="majorHAnsi" w:cstheme="majorHAnsi"/>
          <w:lang w:val="fr"/>
        </w:rPr>
        <w:t xml:space="preserve">l’auditeur. </w:t>
      </w:r>
      <w:r>
        <w:rPr>
          <w:rFonts w:asciiTheme="majorHAnsi" w:eastAsia="Calibri" w:hAnsiTheme="majorHAnsi" w:cstheme="majorHAnsi"/>
          <w:noProof/>
          <w:lang w:val="fr"/>
        </w:rPr>
        <w:t xml:space="preserve">Elles consistent </w:t>
      </w:r>
      <w:r>
        <w:rPr>
          <w:rFonts w:asciiTheme="majorHAnsi" w:eastAsia="Calibri" w:hAnsiTheme="majorHAnsi" w:cstheme="majorHAnsi"/>
          <w:lang w:val="fr"/>
        </w:rPr>
        <w:t xml:space="preserve">à vérifier </w:t>
      </w:r>
      <w:r>
        <w:rPr>
          <w:rFonts w:asciiTheme="majorHAnsi" w:eastAsia="Calibri" w:hAnsiTheme="majorHAnsi" w:cstheme="majorHAnsi"/>
          <w:noProof/>
          <w:lang w:val="fr"/>
        </w:rPr>
        <w:t xml:space="preserve">les données </w:t>
      </w:r>
      <w:r>
        <w:rPr>
          <w:rFonts w:asciiTheme="majorHAnsi" w:eastAsia="Calibri" w:hAnsiTheme="majorHAnsi" w:cstheme="majorHAnsi"/>
          <w:lang w:val="fr"/>
        </w:rPr>
        <w:t xml:space="preserve">financières en </w:t>
      </w:r>
      <w:r>
        <w:rPr>
          <w:rFonts w:asciiTheme="majorHAnsi" w:eastAsia="Calibri" w:hAnsiTheme="majorHAnsi" w:cstheme="majorHAnsi"/>
          <w:noProof/>
          <w:lang w:val="fr"/>
        </w:rPr>
        <w:t>évaluant les liens plausibles entre les informations financières et non financières.</w:t>
      </w:r>
      <w:r>
        <w:rPr>
          <w:rFonts w:asciiTheme="majorHAnsi" w:eastAsia="Calibri" w:hAnsiTheme="majorHAnsi" w:cstheme="majorHAnsi"/>
          <w:lang w:val="fr"/>
        </w:rPr>
        <w:t xml:space="preserve"> </w:t>
      </w:r>
      <w:r>
        <w:rPr>
          <w:rFonts w:asciiTheme="majorHAnsi" w:eastAsia="Calibri" w:hAnsiTheme="majorHAnsi" w:cstheme="majorHAnsi"/>
          <w:b/>
          <w:bCs/>
          <w:noProof/>
          <w:lang w:val="fr"/>
        </w:rPr>
        <w:t xml:space="preserve">La revue analytique des dépenses effectives engagées avec le </w:t>
      </w:r>
      <w:r>
        <w:rPr>
          <w:rFonts w:asciiTheme="majorHAnsi" w:eastAsia="Calibri" w:hAnsiTheme="majorHAnsi" w:cstheme="majorHAnsi"/>
          <w:b/>
          <w:bCs/>
          <w:lang w:val="fr"/>
        </w:rPr>
        <w:t>budget de la subvention (comparaisons budget-réel) est un contrôle de conformité critique.</w:t>
      </w:r>
    </w:p>
    <w:p w14:paraId="48E40311"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6E568781" w14:textId="3AE61DAD" w:rsidR="00382C10" w:rsidRPr="0003530F"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fr-FR"/>
        </w:rPr>
      </w:pPr>
      <w:bookmarkStart w:id="202" w:name="_Toc5026426"/>
      <w:bookmarkStart w:id="203" w:name="_Toc19971625"/>
      <w:bookmarkStart w:id="204" w:name="_Toc19971791"/>
      <w:bookmarkStart w:id="205" w:name="_Toc19971957"/>
      <w:bookmarkStart w:id="206" w:name="_Toc19972123"/>
      <w:bookmarkStart w:id="207" w:name="_Toc19972289"/>
      <w:bookmarkStart w:id="208" w:name="_Toc19972455"/>
      <w:bookmarkStart w:id="209" w:name="_Toc20466649"/>
      <w:bookmarkStart w:id="210" w:name="_Toc103940837"/>
      <w:r>
        <w:rPr>
          <w:rFonts w:asciiTheme="majorHAnsi" w:eastAsia="MS Gothic" w:hAnsiTheme="majorHAnsi" w:cstheme="majorHAnsi"/>
          <w:b/>
          <w:bCs/>
          <w:szCs w:val="24"/>
          <w:lang w:val="fr"/>
        </w:rPr>
        <w:t>Prise en compte des travaux de l’audit interne</w:t>
      </w:r>
      <w:bookmarkEnd w:id="202"/>
      <w:bookmarkEnd w:id="203"/>
      <w:bookmarkEnd w:id="204"/>
      <w:bookmarkEnd w:id="205"/>
      <w:bookmarkEnd w:id="206"/>
      <w:bookmarkEnd w:id="207"/>
      <w:bookmarkEnd w:id="208"/>
      <w:bookmarkEnd w:id="209"/>
      <w:bookmarkEnd w:id="210"/>
    </w:p>
    <w:p w14:paraId="08994206"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lang w:val="fr-FR"/>
        </w:rPr>
      </w:pPr>
      <w:r>
        <w:rPr>
          <w:rFonts w:asciiTheme="majorHAnsi" w:eastAsia="Calibri" w:hAnsiTheme="majorHAnsi" w:cstheme="majorHAnsi"/>
          <w:noProof/>
          <w:lang w:val="fr"/>
        </w:rPr>
        <w:t xml:space="preserve">Le cas échéant, l’auditeur devrait utiliser l’ISA 610 (Utilisation du travail des auditeurs internes). Si l’auditeur estime qu’il est possible de s’appuyer sur un mécanisme d’audit interne pour la mission, son rôle est  : </w:t>
      </w:r>
    </w:p>
    <w:p w14:paraId="7A8691DB" w14:textId="77777777" w:rsidR="00382C10" w:rsidRPr="0003530F" w:rsidRDefault="00382C10" w:rsidP="00382C10">
      <w:pPr>
        <w:numPr>
          <w:ilvl w:val="0"/>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d’évaluer les travaux de l’audit interne et la mesure dans laquelle l’audit peut en </w:t>
      </w:r>
      <w:r>
        <w:rPr>
          <w:rFonts w:asciiTheme="majorHAnsi" w:eastAsia="Calibri" w:hAnsiTheme="majorHAnsi" w:cstheme="majorHAnsi"/>
          <w:noProof/>
          <w:lang w:val="fr"/>
        </w:rPr>
        <w:t>tenir compte</w:t>
      </w:r>
      <w:r>
        <w:rPr>
          <w:rFonts w:asciiTheme="majorHAnsi" w:eastAsia="Calibri" w:hAnsiTheme="majorHAnsi" w:cstheme="majorHAnsi"/>
          <w:lang w:val="fr"/>
        </w:rPr>
        <w:t> ;</w:t>
      </w:r>
    </w:p>
    <w:p w14:paraId="179668CF" w14:textId="77777777" w:rsidR="00382C10" w:rsidRPr="0003530F" w:rsidRDefault="00382C10" w:rsidP="00382C10">
      <w:pPr>
        <w:numPr>
          <w:ilvl w:val="0"/>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de déterminer si les travaux de l’audit interne permettent d’atteindre l’objectif de l’audit.</w:t>
      </w:r>
    </w:p>
    <w:p w14:paraId="003F968F" w14:textId="77777777" w:rsidR="00382C10" w:rsidRPr="0003530F" w:rsidRDefault="00382C10" w:rsidP="00382C10">
      <w:pPr>
        <w:spacing w:before="0" w:after="120" w:line="240" w:lineRule="auto"/>
        <w:jc w:val="both"/>
        <w:rPr>
          <w:rFonts w:asciiTheme="majorHAnsi" w:eastAsia="MS Mincho" w:hAnsiTheme="majorHAnsi" w:cstheme="majorHAnsi"/>
          <w:szCs w:val="24"/>
          <w:lang w:val="fr-FR"/>
        </w:rPr>
      </w:pPr>
    </w:p>
    <w:p w14:paraId="227F98C2"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Lorsque le récipiendaire principal dispose d’une fonction d’audit interne </w:t>
      </w:r>
      <w:r>
        <w:rPr>
          <w:rFonts w:asciiTheme="majorHAnsi" w:eastAsia="Calibri" w:hAnsiTheme="majorHAnsi" w:cstheme="majorHAnsi"/>
          <w:noProof/>
          <w:lang w:val="fr"/>
        </w:rPr>
        <w:t>et</w:t>
      </w:r>
      <w:r>
        <w:rPr>
          <w:rFonts w:asciiTheme="majorHAnsi" w:eastAsia="Calibri" w:hAnsiTheme="majorHAnsi" w:cstheme="majorHAnsi"/>
          <w:lang w:val="fr"/>
        </w:rPr>
        <w:t xml:space="preserve"> que l’auditeur ne s’y fie pas, l’auditeur doit formuler des </w:t>
      </w:r>
      <w:r>
        <w:rPr>
          <w:rFonts w:asciiTheme="majorHAnsi" w:eastAsia="Calibri" w:hAnsiTheme="majorHAnsi" w:cstheme="majorHAnsi"/>
          <w:noProof/>
          <w:lang w:val="fr"/>
        </w:rPr>
        <w:t>recommandations</w:t>
      </w:r>
      <w:r>
        <w:rPr>
          <w:rFonts w:asciiTheme="majorHAnsi" w:eastAsia="Calibri" w:hAnsiTheme="majorHAnsi" w:cstheme="majorHAnsi"/>
          <w:lang w:val="fr"/>
        </w:rPr>
        <w:t xml:space="preserve"> pour l’amélioration de la fonction d’audit interne dans une section de la lettre de recommandation prévue à cet effet.</w:t>
      </w:r>
    </w:p>
    <w:p w14:paraId="141415C9"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61947092" w14:textId="095A9CEC" w:rsidR="00382C10" w:rsidRPr="0003530F"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fr-FR"/>
        </w:rPr>
      </w:pPr>
      <w:bookmarkStart w:id="211" w:name="_Toc5026427"/>
      <w:bookmarkStart w:id="212" w:name="_Toc20125420"/>
      <w:bookmarkStart w:id="213" w:name="_Toc20125586"/>
      <w:bookmarkStart w:id="214" w:name="_Toc20125752"/>
      <w:bookmarkStart w:id="215" w:name="_Toc20125918"/>
      <w:bookmarkStart w:id="216" w:name="_Toc20126084"/>
      <w:bookmarkStart w:id="217" w:name="_Toc20126250"/>
      <w:bookmarkStart w:id="218" w:name="_Toc20126416"/>
      <w:bookmarkStart w:id="219" w:name="_Toc20466650"/>
      <w:bookmarkStart w:id="220" w:name="_Toc103940838"/>
      <w:r>
        <w:rPr>
          <w:rFonts w:asciiTheme="majorHAnsi" w:eastAsia="MS Gothic" w:hAnsiTheme="majorHAnsi" w:cstheme="majorHAnsi"/>
          <w:b/>
          <w:bCs/>
          <w:szCs w:val="24"/>
          <w:lang w:val="fr"/>
        </w:rPr>
        <w:t>Prise en compte des travaux d’experts</w:t>
      </w:r>
      <w:bookmarkEnd w:id="211"/>
      <w:bookmarkEnd w:id="212"/>
      <w:bookmarkEnd w:id="213"/>
      <w:bookmarkEnd w:id="214"/>
      <w:bookmarkEnd w:id="215"/>
      <w:bookmarkEnd w:id="216"/>
      <w:bookmarkEnd w:id="217"/>
      <w:bookmarkEnd w:id="218"/>
      <w:bookmarkEnd w:id="219"/>
      <w:bookmarkEnd w:id="220"/>
    </w:p>
    <w:p w14:paraId="16AF85DB"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L’auditeur peut utiliser</w:t>
      </w:r>
      <w:r>
        <w:rPr>
          <w:rFonts w:asciiTheme="majorHAnsi" w:eastAsia="Calibri" w:hAnsiTheme="majorHAnsi" w:cstheme="majorHAnsi"/>
          <w:lang w:val="fr"/>
        </w:rPr>
        <w:t xml:space="preserve"> les travaux d’une personne</w:t>
      </w:r>
      <w:r>
        <w:rPr>
          <w:rFonts w:asciiTheme="majorHAnsi" w:eastAsia="Calibri" w:hAnsiTheme="majorHAnsi" w:cstheme="majorHAnsi"/>
          <w:noProof/>
          <w:lang w:val="fr"/>
        </w:rPr>
        <w:t xml:space="preserve"> ou d’une</w:t>
      </w:r>
      <w:r>
        <w:rPr>
          <w:rFonts w:asciiTheme="majorHAnsi" w:eastAsia="Calibri" w:hAnsiTheme="majorHAnsi" w:cstheme="majorHAnsi"/>
          <w:lang w:val="fr"/>
        </w:rPr>
        <w:t xml:space="preserve"> </w:t>
      </w:r>
      <w:r>
        <w:rPr>
          <w:rFonts w:asciiTheme="majorHAnsi" w:eastAsia="Calibri" w:hAnsiTheme="majorHAnsi" w:cstheme="majorHAnsi"/>
          <w:noProof/>
          <w:lang w:val="fr"/>
        </w:rPr>
        <w:t>organisation présentant une expertise dans un domaine autre que la comptabilité ou l’audit, s’il en a besoin pour recueillir suffisamment d’éléments probants et parvenir à sa conclusion. L’auditeur doit se conformer à la norme ISA 620 (Utilisation des travaux d’un expert-réviseur) dans la mesure où cette norme est pertinente pour l’audit.</w:t>
      </w:r>
    </w:p>
    <w:p w14:paraId="66AEDCDA"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5D5B7D2C" w14:textId="1D70A388" w:rsidR="00382C10" w:rsidRPr="00382C10"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21" w:name="_Toc5026428"/>
      <w:bookmarkStart w:id="222" w:name="_Toc19971627"/>
      <w:bookmarkStart w:id="223" w:name="_Toc19971793"/>
      <w:bookmarkStart w:id="224" w:name="_Toc19971959"/>
      <w:bookmarkStart w:id="225" w:name="_Toc19972125"/>
      <w:bookmarkStart w:id="226" w:name="_Toc19972291"/>
      <w:bookmarkStart w:id="227" w:name="_Toc19972457"/>
      <w:bookmarkStart w:id="228" w:name="_Toc20466651"/>
      <w:bookmarkStart w:id="229" w:name="_Toc103940839"/>
      <w:r>
        <w:rPr>
          <w:rFonts w:asciiTheme="majorHAnsi" w:eastAsia="MS Gothic" w:hAnsiTheme="majorHAnsi" w:cstheme="majorHAnsi"/>
          <w:b/>
          <w:bCs/>
          <w:szCs w:val="24"/>
          <w:lang w:val="fr"/>
        </w:rPr>
        <w:t>Déclarations écrites</w:t>
      </w:r>
      <w:bookmarkEnd w:id="221"/>
      <w:bookmarkEnd w:id="222"/>
      <w:bookmarkEnd w:id="223"/>
      <w:bookmarkEnd w:id="224"/>
      <w:bookmarkEnd w:id="225"/>
      <w:bookmarkEnd w:id="226"/>
      <w:bookmarkEnd w:id="227"/>
      <w:bookmarkEnd w:id="228"/>
      <w:bookmarkEnd w:id="229"/>
    </w:p>
    <w:p w14:paraId="19DDE2FE"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 xml:space="preserve">Conformément à l’exigence standard, à savoir ISA 580 (Déclarations écrites), la direction du récipiendaire principal doit fournir à l’auditeur une lettre de déclaration écrite. </w:t>
      </w:r>
      <w:r>
        <w:rPr>
          <w:rFonts w:asciiTheme="majorHAnsi" w:eastAsia="Calibri" w:hAnsiTheme="majorHAnsi" w:cstheme="majorHAnsi"/>
          <w:lang w:val="fr"/>
        </w:rPr>
        <w:t xml:space="preserve">L’auditeur doit demander une lettre de déclaration signée par les membres de la direction du récipiendaire principal </w:t>
      </w:r>
      <w:r>
        <w:rPr>
          <w:rFonts w:asciiTheme="majorHAnsi" w:eastAsia="Calibri" w:hAnsiTheme="majorHAnsi" w:cstheme="majorHAnsi"/>
          <w:noProof/>
          <w:lang w:val="fr"/>
        </w:rPr>
        <w:t>qui</w:t>
      </w:r>
      <w:r>
        <w:rPr>
          <w:rFonts w:asciiTheme="majorHAnsi" w:eastAsia="Calibri" w:hAnsiTheme="majorHAnsi" w:cstheme="majorHAnsi"/>
          <w:lang w:val="fr"/>
        </w:rPr>
        <w:t xml:space="preserve"> ont la responsabilité principale de la subvention et de ses aspects financiers. </w:t>
      </w:r>
    </w:p>
    <w:p w14:paraId="7059F43A" w14:textId="77777777" w:rsidR="00382C10" w:rsidRPr="0003530F" w:rsidRDefault="00382C10" w:rsidP="00382C10">
      <w:pPr>
        <w:spacing w:after="120" w:line="240" w:lineRule="auto"/>
        <w:jc w:val="both"/>
        <w:rPr>
          <w:rFonts w:asciiTheme="majorHAnsi" w:eastAsia="MS Mincho" w:hAnsiTheme="majorHAnsi" w:cstheme="majorHAnsi"/>
          <w:b/>
          <w:i/>
          <w:sz w:val="6"/>
          <w:szCs w:val="6"/>
          <w:lang w:val="fr-FR"/>
        </w:rPr>
      </w:pPr>
    </w:p>
    <w:p w14:paraId="45FB39A0" w14:textId="5122F894" w:rsidR="00382C10" w:rsidRPr="00382C10"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30" w:name="_Toc5026429"/>
      <w:bookmarkStart w:id="231" w:name="_Toc19971628"/>
      <w:bookmarkStart w:id="232" w:name="_Toc19971794"/>
      <w:bookmarkStart w:id="233" w:name="_Toc19971960"/>
      <w:bookmarkStart w:id="234" w:name="_Toc19972126"/>
      <w:bookmarkStart w:id="235" w:name="_Toc19972292"/>
      <w:bookmarkStart w:id="236" w:name="_Toc19972458"/>
      <w:bookmarkStart w:id="237" w:name="_Toc20466652"/>
      <w:bookmarkStart w:id="238" w:name="_Toc103940840"/>
      <w:r>
        <w:rPr>
          <w:rFonts w:asciiTheme="majorHAnsi" w:eastAsia="MS Gothic" w:hAnsiTheme="majorHAnsi" w:cstheme="majorHAnsi"/>
          <w:b/>
          <w:bCs/>
          <w:szCs w:val="24"/>
          <w:lang w:val="fr"/>
        </w:rPr>
        <w:t>Lettre complémentaire</w:t>
      </w:r>
      <w:bookmarkEnd w:id="230"/>
      <w:bookmarkEnd w:id="231"/>
      <w:bookmarkEnd w:id="232"/>
      <w:bookmarkEnd w:id="233"/>
      <w:bookmarkEnd w:id="234"/>
      <w:bookmarkEnd w:id="235"/>
      <w:bookmarkEnd w:id="236"/>
      <w:bookmarkEnd w:id="237"/>
      <w:bookmarkEnd w:id="238"/>
    </w:p>
    <w:p w14:paraId="51DE7FF9"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sz w:val="24"/>
          <w:szCs w:val="20"/>
          <w:lang w:val="fr-FR"/>
        </w:rPr>
      </w:pPr>
      <w:r>
        <w:rPr>
          <w:rFonts w:asciiTheme="majorHAnsi" w:eastAsia="Calibri" w:hAnsiTheme="majorHAnsi" w:cstheme="majorHAnsi"/>
          <w:lang w:val="fr"/>
        </w:rPr>
        <w:t xml:space="preserve"> </w:t>
      </w:r>
      <w:r>
        <w:rPr>
          <w:rFonts w:asciiTheme="majorHAnsi" w:eastAsia="Calibri" w:hAnsiTheme="majorHAnsi" w:cstheme="majorHAnsi"/>
          <w:noProof/>
          <w:sz w:val="24"/>
          <w:szCs w:val="20"/>
          <w:lang w:val="fr"/>
        </w:rPr>
        <w:t xml:space="preserve">L’auditeur peut, à tout moment du processus d’audit, rédiger une lettre complémentaire s’il estime que le Fonds mondial doit être informé de faits et de problèmes urgents, très inhabituels ou d’une importance particulière pour le Fonds mondial. </w:t>
      </w:r>
    </w:p>
    <w:p w14:paraId="5FE04CEB"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noProof/>
          <w:lang w:val="fr"/>
        </w:rPr>
        <w:t xml:space="preserve">Par exemple, cela pourrait être le cas de fraudes ou </w:t>
      </w:r>
      <w:r>
        <w:rPr>
          <w:rFonts w:asciiTheme="majorHAnsi" w:eastAsia="Calibri" w:hAnsiTheme="majorHAnsi" w:cstheme="majorHAnsi"/>
          <w:lang w:val="fr"/>
        </w:rPr>
        <w:t>d’irrégularités survenues ou susceptibles de se produire. Le Fonds mondial décidera des mesures de suivi à adopter, y compris, le cas échéant, l’ouverture d’une enquête du Bureau de l’inspecteur général.</w:t>
      </w:r>
    </w:p>
    <w:p w14:paraId="3AF3CEEE" w14:textId="77777777" w:rsidR="00382C10" w:rsidRPr="0003530F" w:rsidRDefault="00382C10" w:rsidP="00382C10">
      <w:pPr>
        <w:spacing w:after="120" w:line="240" w:lineRule="auto"/>
        <w:jc w:val="both"/>
        <w:rPr>
          <w:rFonts w:asciiTheme="majorHAnsi" w:eastAsia="MS Mincho" w:hAnsiTheme="majorHAnsi" w:cstheme="majorHAnsi"/>
          <w:b/>
          <w:i/>
          <w:sz w:val="6"/>
          <w:szCs w:val="6"/>
          <w:highlight w:val="yellow"/>
          <w:lang w:val="fr-FR"/>
        </w:rPr>
      </w:pPr>
    </w:p>
    <w:p w14:paraId="36564818" w14:textId="5D007E84" w:rsidR="00382C10" w:rsidRPr="007D0506"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39" w:name="_Toc5026430"/>
      <w:bookmarkStart w:id="240" w:name="_Toc19971629"/>
      <w:bookmarkStart w:id="241" w:name="_Toc19971795"/>
      <w:bookmarkStart w:id="242" w:name="_Toc19971961"/>
      <w:bookmarkStart w:id="243" w:name="_Toc19972127"/>
      <w:bookmarkStart w:id="244" w:name="_Toc19972293"/>
      <w:bookmarkStart w:id="245" w:name="_Toc19972459"/>
      <w:bookmarkStart w:id="246" w:name="_Toc20466653"/>
      <w:bookmarkStart w:id="247" w:name="_Toc103940841"/>
      <w:r>
        <w:rPr>
          <w:rFonts w:asciiTheme="majorHAnsi" w:eastAsia="MS Gothic" w:hAnsiTheme="majorHAnsi" w:cstheme="majorHAnsi"/>
          <w:b/>
          <w:bCs/>
          <w:szCs w:val="24"/>
          <w:lang w:val="fr"/>
        </w:rPr>
        <w:t>Compte rendu (aide-mémoire)</w:t>
      </w:r>
      <w:bookmarkEnd w:id="239"/>
      <w:bookmarkEnd w:id="240"/>
      <w:bookmarkEnd w:id="241"/>
      <w:bookmarkEnd w:id="242"/>
      <w:bookmarkEnd w:id="243"/>
      <w:bookmarkEnd w:id="244"/>
      <w:bookmarkEnd w:id="245"/>
      <w:bookmarkEnd w:id="246"/>
      <w:bookmarkEnd w:id="247"/>
    </w:p>
    <w:p w14:paraId="27188D13" w14:textId="632727A5" w:rsidR="00382C10" w:rsidRPr="0003530F" w:rsidRDefault="00382C10" w:rsidP="00382C10">
      <w:pPr>
        <w:numPr>
          <w:ilvl w:val="0"/>
          <w:numId w:val="36"/>
        </w:numPr>
        <w:spacing w:before="0" w:after="120" w:line="240" w:lineRule="auto"/>
        <w:jc w:val="both"/>
        <w:rPr>
          <w:rFonts w:asciiTheme="majorHAnsi" w:eastAsia="Calibri" w:hAnsiTheme="majorHAnsi" w:cstheme="majorHAnsi"/>
          <w:noProof/>
          <w:sz w:val="24"/>
          <w:szCs w:val="20"/>
          <w:lang w:val="fr-FR"/>
        </w:rPr>
      </w:pPr>
      <w:r>
        <w:rPr>
          <w:rFonts w:asciiTheme="majorHAnsi" w:eastAsia="Calibri" w:hAnsiTheme="majorHAnsi" w:cstheme="majorHAnsi"/>
          <w:noProof/>
          <w:sz w:val="24"/>
          <w:szCs w:val="20"/>
          <w:lang w:val="fr"/>
        </w:rPr>
        <w:t>L’auditeur rédige un compte rendu ou le rapport provisoire présentant les principales conclusions, les opinions préliminaires et les recommandations de l’audit qui seront abordées lors de la réunion finale. Le récipiendaire principal envoie une copie de ce compte rendu ou du rapport provisoire au Fonds mondial.</w:t>
      </w:r>
    </w:p>
    <w:p w14:paraId="73E8C8E6" w14:textId="77777777" w:rsidR="00382C10" w:rsidRPr="0003530F" w:rsidRDefault="00382C10" w:rsidP="00382C10">
      <w:pPr>
        <w:spacing w:before="0" w:after="120" w:line="240" w:lineRule="auto"/>
        <w:rPr>
          <w:rFonts w:asciiTheme="majorHAnsi" w:eastAsia="MS Mincho" w:hAnsiTheme="majorHAnsi" w:cstheme="majorHAnsi"/>
          <w:szCs w:val="24"/>
          <w:lang w:val="fr-FR"/>
        </w:rPr>
      </w:pPr>
    </w:p>
    <w:p w14:paraId="447005D5" w14:textId="4AAE5AE4" w:rsidR="00382C10" w:rsidRPr="0003530F"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fr-FR"/>
        </w:rPr>
      </w:pPr>
      <w:bookmarkStart w:id="248" w:name="_Toc5026431"/>
      <w:bookmarkStart w:id="249" w:name="_Toc19971630"/>
      <w:bookmarkStart w:id="250" w:name="_Toc19971796"/>
      <w:bookmarkStart w:id="251" w:name="_Toc19971962"/>
      <w:bookmarkStart w:id="252" w:name="_Toc19972128"/>
      <w:bookmarkStart w:id="253" w:name="_Toc19972294"/>
      <w:bookmarkStart w:id="254" w:name="_Toc19972460"/>
      <w:bookmarkStart w:id="255" w:name="_Toc20466654"/>
      <w:bookmarkStart w:id="256" w:name="_Toc103940842"/>
      <w:r>
        <w:rPr>
          <w:rFonts w:asciiTheme="majorHAnsi" w:eastAsia="MS Gothic" w:hAnsiTheme="majorHAnsi" w:cstheme="majorHAnsi"/>
          <w:b/>
          <w:bCs/>
          <w:szCs w:val="24"/>
          <w:lang w:val="fr"/>
        </w:rPr>
        <w:t>Réunion de clôture d’audit dans le pays</w:t>
      </w:r>
      <w:bookmarkEnd w:id="248"/>
      <w:bookmarkEnd w:id="249"/>
      <w:bookmarkEnd w:id="250"/>
      <w:bookmarkEnd w:id="251"/>
      <w:bookmarkEnd w:id="252"/>
      <w:bookmarkEnd w:id="253"/>
      <w:bookmarkEnd w:id="254"/>
      <w:bookmarkEnd w:id="255"/>
      <w:bookmarkEnd w:id="256"/>
    </w:p>
    <w:p w14:paraId="189C93F9" w14:textId="6E156CA8"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L’auditeur doit organiser une réunion de clôture avec le récipiendaire principal. </w:t>
      </w:r>
      <w:r>
        <w:rPr>
          <w:rFonts w:asciiTheme="majorHAnsi" w:eastAsia="Calibri" w:hAnsiTheme="majorHAnsi" w:cstheme="majorHAnsi"/>
          <w:noProof/>
          <w:lang w:val="fr"/>
        </w:rPr>
        <w:t xml:space="preserve">L’objectif de cette réunion est </w:t>
      </w:r>
      <w:r>
        <w:rPr>
          <w:rFonts w:asciiTheme="majorHAnsi" w:eastAsia="Calibri" w:hAnsiTheme="majorHAnsi" w:cstheme="majorHAnsi"/>
          <w:lang w:val="fr"/>
        </w:rPr>
        <w:t xml:space="preserve">de discuter du compte rendu ou du rapport provisoire et d’obtenir l’approbation du récipiendaire principal, ainsi que ses premiers commentaires sur les conclusions, les opinions et les recommandations de l’auditeur. L’auditeur et le récipiendaire principal </w:t>
      </w:r>
      <w:r>
        <w:rPr>
          <w:rFonts w:asciiTheme="majorHAnsi" w:eastAsia="Calibri" w:hAnsiTheme="majorHAnsi" w:cstheme="majorHAnsi"/>
          <w:noProof/>
          <w:lang w:val="fr"/>
        </w:rPr>
        <w:t>peuvent</w:t>
      </w:r>
      <w:r>
        <w:rPr>
          <w:rFonts w:asciiTheme="majorHAnsi" w:eastAsia="Calibri" w:hAnsiTheme="majorHAnsi" w:cstheme="majorHAnsi"/>
          <w:lang w:val="fr"/>
        </w:rPr>
        <w:t xml:space="preserve"> convenir des informations en suspens que le récipiendaire principal devra fournir et, le cas échéant, d’une date limite pour la soumission. </w:t>
      </w:r>
    </w:p>
    <w:p w14:paraId="0F472762" w14:textId="557DC36E" w:rsidR="00382C10" w:rsidRPr="0003530F" w:rsidRDefault="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À la demande de l’équipe de pays du Fonds mondial, l’auditeur informera également l’instance de coordination nationale sur la conclusion de l’audit. L’agent local du Fonds doit, à la demande du Fonds mondial, être invité à participer à cette réunion. Pour les pays de la catégorie « ciblé », la participation de l’agent local du Fonds est obligatoire.</w:t>
      </w:r>
    </w:p>
    <w:p w14:paraId="37BE80E4" w14:textId="15EE88F0" w:rsidR="00382C10" w:rsidRPr="00382C10" w:rsidRDefault="00DC4870" w:rsidP="00A30A41">
      <w:pPr>
        <w:keepNext/>
        <w:keepLines/>
        <w:spacing w:before="240" w:after="120" w:line="240" w:lineRule="auto"/>
        <w:ind w:left="360"/>
        <w:outlineLvl w:val="0"/>
        <w:rPr>
          <w:rFonts w:asciiTheme="majorHAnsi" w:eastAsia="MS Gothic" w:hAnsiTheme="majorHAnsi" w:cstheme="majorHAnsi"/>
          <w:b/>
          <w:bCs/>
          <w:noProof/>
          <w:color w:val="000000"/>
          <w:sz w:val="24"/>
          <w:szCs w:val="28"/>
        </w:rPr>
      </w:pPr>
      <w:bookmarkStart w:id="257" w:name="_Toc5026433"/>
      <w:bookmarkStart w:id="258" w:name="_Toc19971632"/>
      <w:bookmarkStart w:id="259" w:name="_Toc19971798"/>
      <w:bookmarkStart w:id="260" w:name="_Toc19971964"/>
      <w:bookmarkStart w:id="261" w:name="_Toc19972130"/>
      <w:bookmarkStart w:id="262" w:name="_Toc19972296"/>
      <w:bookmarkStart w:id="263" w:name="_Toc19972462"/>
      <w:bookmarkStart w:id="264" w:name="_Toc20466656"/>
      <w:bookmarkStart w:id="265" w:name="_Toc103940843"/>
      <w:r>
        <w:rPr>
          <w:rFonts w:asciiTheme="majorHAnsi" w:eastAsia="MS Gothic" w:hAnsiTheme="majorHAnsi" w:cstheme="majorHAnsi"/>
          <w:b/>
          <w:bCs/>
          <w:noProof/>
          <w:color w:val="000000"/>
          <w:sz w:val="24"/>
          <w:szCs w:val="28"/>
          <w:lang w:val="fr"/>
        </w:rPr>
        <w:t>10 Lettre de recommandation.</w:t>
      </w:r>
      <w:bookmarkEnd w:id="257"/>
      <w:bookmarkEnd w:id="258"/>
      <w:bookmarkEnd w:id="259"/>
      <w:bookmarkEnd w:id="260"/>
      <w:bookmarkEnd w:id="261"/>
      <w:bookmarkEnd w:id="262"/>
      <w:bookmarkEnd w:id="263"/>
      <w:bookmarkEnd w:id="264"/>
      <w:bookmarkEnd w:id="265"/>
    </w:p>
    <w:p w14:paraId="22637DB3" w14:textId="685ECF82" w:rsidR="00382C10" w:rsidRPr="00A30A41" w:rsidRDefault="00382C10">
      <w:pPr>
        <w:numPr>
          <w:ilvl w:val="0"/>
          <w:numId w:val="36"/>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 xml:space="preserve">En plus du rapport d’audit, l’auditeur préparera une lettre de recommandation réunissant ses conclusions visant le récipiendaire principal et les sous- récipiendaires sélectionnés. Les auditeurs doivent utiliser le document type de lettre de recommandation fourni à l’annexe 4 et présenter l’information demandée en suivant la structure exposée dans ce document. Voici quelques directives concernant la lettre de recommandation.  </w:t>
      </w:r>
    </w:p>
    <w:p w14:paraId="32200CEE" w14:textId="77777777" w:rsidR="00192384" w:rsidRPr="0003530F" w:rsidRDefault="00192384"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 première page de la lettre de recommandation doit clairement indiquer qu’il s’agit d’un document confidentiel qui doit être traité comme tel. </w:t>
      </w:r>
    </w:p>
    <w:p w14:paraId="129CE134" w14:textId="77777777" w:rsidR="00192384" w:rsidRPr="0003530F" w:rsidRDefault="00192384"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 lettre de recommandation doit indiquer que l’auditeur convient que la lettre de recommandation soit partagée avec le Fonds mondial et l’agent local du Fonds (de manière confidentielle). </w:t>
      </w:r>
    </w:p>
    <w:p w14:paraId="17B77F8F" w14:textId="553F9BEF" w:rsidR="004735F7" w:rsidRPr="0003530F" w:rsidRDefault="004735F7" w:rsidP="00A30A41">
      <w:pPr>
        <w:numPr>
          <w:ilvl w:val="1"/>
          <w:numId w:val="44"/>
        </w:numPr>
        <w:autoSpaceDE w:val="0"/>
        <w:autoSpaceDN w:val="0"/>
        <w:adjustRightInd w:val="0"/>
        <w:spacing w:before="0" w:after="120" w:line="240" w:lineRule="auto"/>
        <w:jc w:val="both"/>
        <w:rPr>
          <w:rFonts w:asciiTheme="majorHAnsi" w:eastAsia="Calibri" w:hAnsiTheme="majorHAnsi" w:cstheme="majorHAnsi"/>
          <w:color w:val="0000FF"/>
          <w:u w:val="single"/>
          <w:lang w:val="fr-FR"/>
        </w:rPr>
      </w:pPr>
      <w:r>
        <w:rPr>
          <w:rFonts w:asciiTheme="majorHAnsi" w:eastAsia="Calibri" w:hAnsiTheme="majorHAnsi" w:cstheme="majorHAnsi"/>
          <w:lang w:val="fr"/>
        </w:rPr>
        <w:t xml:space="preserve">La lettre de recommandation doit utiliser un système de notation indiquant le degré de gravité comparable au système suggéré dans les </w:t>
      </w:r>
      <w:hyperlink r:id="rId20" w:history="1">
        <w:r>
          <w:rPr>
            <w:rFonts w:asciiTheme="majorHAnsi" w:eastAsia="Calibri" w:hAnsiTheme="majorHAnsi" w:cstheme="majorHAnsi"/>
            <w:i/>
            <w:iCs/>
            <w:noProof/>
            <w:color w:val="0000FF"/>
            <w:u w:val="single"/>
            <w:lang w:val="fr"/>
          </w:rPr>
          <w:t xml:space="preserve">Directives relatives aux </w:t>
        </w:r>
        <w:r>
          <w:rPr>
            <w:rFonts w:asciiTheme="majorHAnsi" w:eastAsia="Calibri" w:hAnsiTheme="majorHAnsi" w:cstheme="majorHAnsi"/>
            <w:i/>
            <w:iCs/>
            <w:color w:val="0000FF"/>
            <w:u w:val="single"/>
            <w:lang w:val="fr"/>
          </w:rPr>
          <w:t>audits annuels des états financiers des programmes de subvention</w:t>
        </w:r>
      </w:hyperlink>
      <w:r>
        <w:rPr>
          <w:lang w:val="fr"/>
        </w:rPr>
        <w:t>.</w:t>
      </w:r>
    </w:p>
    <w:p w14:paraId="1BBB6AD2" w14:textId="52854440" w:rsidR="009E5565" w:rsidRPr="0003530F" w:rsidRDefault="009E5565"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lastRenderedPageBreak/>
        <w:t>Les normes suivantes de l’IAASB peuvent fournir une orientation :</w:t>
      </w:r>
    </w:p>
    <w:p w14:paraId="45FF5BD6" w14:textId="5D983B7E" w:rsidR="009E5565" w:rsidRPr="0003530F" w:rsidRDefault="002F128A" w:rsidP="00A30A41">
      <w:pPr>
        <w:numPr>
          <w:ilvl w:val="2"/>
          <w:numId w:val="44"/>
        </w:numPr>
        <w:autoSpaceDE w:val="0"/>
        <w:autoSpaceDN w:val="0"/>
        <w:adjustRightInd w:val="0"/>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norme relative à la communication des observations relevées dans une lettre de recommandation aux personnes chargées de la gouvernance d’une entité : http://web.ifac.org/download/ISA_260_standalone_2009_Handbook.pdf ;</w:t>
      </w:r>
    </w:p>
    <w:p w14:paraId="0494085C" w14:textId="77777777" w:rsidR="009E5565" w:rsidRPr="0003530F" w:rsidRDefault="009E5565" w:rsidP="00A30A41">
      <w:pPr>
        <w:numPr>
          <w:ilvl w:val="3"/>
          <w:numId w:val="44"/>
        </w:numPr>
        <w:autoSpaceDE w:val="0"/>
        <w:autoSpaceDN w:val="0"/>
        <w:adjustRightInd w:val="0"/>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norme relative à la communication des défaillances en matière de contrôle interne : </w:t>
      </w:r>
      <w:r>
        <w:rPr>
          <w:rFonts w:asciiTheme="majorHAnsi" w:eastAsia="Calibri" w:hAnsiTheme="majorHAnsi" w:cstheme="majorHAnsi"/>
          <w:u w:val="single"/>
          <w:lang w:val="fr"/>
        </w:rPr>
        <w:t>http://web.ifac.org/download/ISA_265_standalone_2009_Handbook.pdf</w:t>
      </w:r>
    </w:p>
    <w:p w14:paraId="3E115B02" w14:textId="77777777" w:rsidR="009E5565" w:rsidRPr="0003530F" w:rsidRDefault="009E5565" w:rsidP="00A30A41">
      <w:pPr>
        <w:numPr>
          <w:ilvl w:val="3"/>
          <w:numId w:val="44"/>
        </w:numPr>
        <w:autoSpaceDE w:val="0"/>
        <w:autoSpaceDN w:val="0"/>
        <w:adjustRightInd w:val="0"/>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http://web.ifac.org/download/ISA_265_standalone_2009_Handbook.pdf.</w:t>
      </w:r>
    </w:p>
    <w:p w14:paraId="5245F9E4" w14:textId="022B8C0F" w:rsidR="009E5565" w:rsidRPr="0003530F" w:rsidRDefault="009E5565">
      <w:pPr>
        <w:numPr>
          <w:ilvl w:val="2"/>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Lorsque les auditeurs sont issus du secteur public (par exemple l’Institution supérieure de contrôle des finances publiques), il est possible de s’appuyer sur les normes édictées par l’Organisation internationale des institutions supérieures de contrôle des finances publiques (voir le chapitre 4 « Normes relatives à l’information en matière d’audit des comptes publics » du Code d’éthique et des normes d’audit de ladite Organisation : </w:t>
      </w:r>
      <w:hyperlink r:id="rId21" w:history="1">
        <w:r>
          <w:rPr>
            <w:rStyle w:val="Hyperlink"/>
            <w:lang w:val="fr"/>
          </w:rPr>
          <w:t>https://www.intosai.org/</w:t>
        </w:r>
      </w:hyperlink>
      <w:r>
        <w:rPr>
          <w:rFonts w:asciiTheme="majorHAnsi" w:eastAsia="Calibri" w:hAnsiTheme="majorHAnsi" w:cstheme="majorHAnsi"/>
          <w:lang w:val="fr"/>
        </w:rPr>
        <w:t>)</w:t>
      </w:r>
    </w:p>
    <w:p w14:paraId="389BED9F" w14:textId="77777777" w:rsidR="00C85331" w:rsidRPr="0003530F" w:rsidRDefault="00C85331" w:rsidP="00A30A41">
      <w:pPr>
        <w:spacing w:before="0" w:after="120" w:line="240" w:lineRule="auto"/>
        <w:ind w:left="1800"/>
        <w:jc w:val="both"/>
        <w:rPr>
          <w:rFonts w:asciiTheme="majorHAnsi" w:eastAsia="Calibri" w:hAnsiTheme="majorHAnsi" w:cstheme="majorHAnsi"/>
          <w:lang w:val="fr-FR"/>
        </w:rPr>
      </w:pPr>
    </w:p>
    <w:p w14:paraId="11EA7E4F" w14:textId="4AA67E30"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266" w:name="_Toc101550424"/>
      <w:bookmarkStart w:id="267" w:name="_Toc101541037"/>
      <w:bookmarkStart w:id="268" w:name="_Toc101540597"/>
      <w:bookmarkStart w:id="269" w:name="_Toc101540467"/>
      <w:bookmarkStart w:id="270" w:name="_Toc101540368"/>
      <w:bookmarkStart w:id="271" w:name="_Toc101540317"/>
      <w:bookmarkStart w:id="272" w:name="_Toc101540259"/>
      <w:bookmarkStart w:id="273" w:name="_Toc101540078"/>
      <w:bookmarkStart w:id="274" w:name="_Toc101539173"/>
      <w:bookmarkStart w:id="275" w:name="_Toc101538323"/>
      <w:bookmarkStart w:id="276" w:name="_Toc100821759"/>
      <w:bookmarkStart w:id="277" w:name="_Toc100560013"/>
      <w:bookmarkStart w:id="278" w:name="_Toc101550423"/>
      <w:bookmarkStart w:id="279" w:name="_Toc101541036"/>
      <w:bookmarkStart w:id="280" w:name="_Toc101540596"/>
      <w:bookmarkStart w:id="281" w:name="_Toc101540466"/>
      <w:bookmarkStart w:id="282" w:name="_Toc101540367"/>
      <w:bookmarkStart w:id="283" w:name="_Toc101540316"/>
      <w:bookmarkStart w:id="284" w:name="_Toc101540258"/>
      <w:bookmarkStart w:id="285" w:name="_Toc101540077"/>
      <w:bookmarkStart w:id="286" w:name="_Toc101539172"/>
      <w:bookmarkStart w:id="287" w:name="_Toc101538322"/>
      <w:bookmarkStart w:id="288" w:name="_Toc100821758"/>
      <w:bookmarkStart w:id="289" w:name="_Toc100560012"/>
      <w:bookmarkStart w:id="290" w:name="_Toc5026434"/>
      <w:bookmarkStart w:id="291" w:name="_Toc19971633"/>
      <w:bookmarkStart w:id="292" w:name="_Toc19971799"/>
      <w:bookmarkStart w:id="293" w:name="_Toc19971965"/>
      <w:bookmarkStart w:id="294" w:name="_Toc19972131"/>
      <w:bookmarkStart w:id="295" w:name="_Toc19972297"/>
      <w:bookmarkStart w:id="296" w:name="_Toc19972463"/>
      <w:bookmarkStart w:id="297" w:name="_Toc20466657"/>
      <w:bookmarkStart w:id="298" w:name="_Toc103940844"/>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Theme="majorHAnsi" w:hAnsiTheme="majorHAnsi" w:cstheme="majorHAnsi"/>
          <w:b/>
          <w:bCs/>
          <w:szCs w:val="24"/>
          <w:lang w:val="fr"/>
        </w:rPr>
        <w:t>Cadre de contrôle interne</w:t>
      </w:r>
      <w:r>
        <w:rPr>
          <w:rFonts w:asciiTheme="majorHAnsi" w:hAnsiTheme="majorHAnsi" w:cstheme="majorHAnsi"/>
          <w:vertAlign w:val="superscript"/>
          <w:lang w:val="fr"/>
        </w:rPr>
        <w:footnoteReference w:id="17"/>
      </w:r>
      <w:bookmarkEnd w:id="290"/>
      <w:bookmarkEnd w:id="291"/>
      <w:bookmarkEnd w:id="292"/>
      <w:bookmarkEnd w:id="293"/>
      <w:bookmarkEnd w:id="294"/>
      <w:bookmarkEnd w:id="295"/>
      <w:bookmarkEnd w:id="296"/>
      <w:bookmarkEnd w:id="297"/>
      <w:bookmarkEnd w:id="298"/>
    </w:p>
    <w:p w14:paraId="48662DFD" w14:textId="073699AE"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 lettre de recommandation doit mettre en évidence les défaillances du cadre de contrôle interne de la subvention relevées vis-à-vis des processus mentionnés. L’auditeur doit formuler une recommandation pour chaque défaillance. Pour les pays des catégories « à fort impact » et « essentiel » visés par un audit intermédiaire, une lettre de recommandation sur le cadre de contrôle interne doit être publiée. L’auditeur doit également présenter un résumé des procédures de contrôle du récipiendaire principal dans la lettre de recommandation.</w:t>
      </w:r>
    </w:p>
    <w:p w14:paraId="12FF0D2B"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L’auditeur doit commenter les cas de non-conformité relevés dans les livres, procédures, systèmes et contrôles comptables qui ont été examinés au cours de l’audit, en se référant notamment aux dépenses irrecevables et aux points faibles systématiques.</w:t>
      </w:r>
    </w:p>
    <w:p w14:paraId="5DA8DE52" w14:textId="54B262CE"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L’auditeur doit communiquer dans la lettre de recommandation les situations portées à son attention durant l’audit qui pourraient avoir un impact significatif sur la mise en œuvre ou la pérennité du programme de la subvention. La lettre de recommandation devra au moins comprendre les sections suivantes.</w:t>
      </w:r>
    </w:p>
    <w:p w14:paraId="3265D65E" w14:textId="1AB95E56" w:rsidR="00382C10" w:rsidRPr="0003530F" w:rsidRDefault="00382C10" w:rsidP="00382C10">
      <w:pPr>
        <w:numPr>
          <w:ilvl w:val="1"/>
          <w:numId w:val="35"/>
        </w:numPr>
        <w:spacing w:before="0" w:after="120" w:line="240" w:lineRule="auto"/>
        <w:ind w:left="648"/>
        <w:jc w:val="both"/>
        <w:rPr>
          <w:rFonts w:asciiTheme="majorHAnsi" w:eastAsia="Calibri" w:hAnsiTheme="majorHAnsi" w:cstheme="majorHAnsi"/>
          <w:lang w:val="fr-FR"/>
        </w:rPr>
      </w:pPr>
      <w:r>
        <w:rPr>
          <w:rFonts w:asciiTheme="majorHAnsi" w:eastAsia="Calibri" w:hAnsiTheme="majorHAnsi" w:cstheme="majorHAnsi"/>
          <w:b/>
          <w:bCs/>
          <w:lang w:val="fr"/>
        </w:rPr>
        <w:t>Contrôle interne.</w:t>
      </w:r>
      <w:r>
        <w:rPr>
          <w:rFonts w:asciiTheme="majorHAnsi" w:eastAsia="Calibri" w:hAnsiTheme="majorHAnsi" w:cstheme="majorHAnsi"/>
          <w:lang w:val="fr"/>
        </w:rPr>
        <w:t xml:space="preserve"> Cette section rend compte de tous les autres problèmes de contrôle interne essentiels relevés par l’auditeur lors de l’examen décrit dans le périmètre des travaux, en particulier dans les sous-catégories suivantes : a) la gestion financière, b) la gestion des sous-récipiendaires, c) la gestion du programme, d) la gestion des stocks, e) les contrôles informatiques généraux, f) les contrôles liés aux tierces parties au service du récipiendaire principal ou du Fonds mondial, y compris pour l’examen des conditions de leurs engagements et de leur observance de ces engagements.</w:t>
      </w:r>
    </w:p>
    <w:p w14:paraId="07DDA12E" w14:textId="77777777" w:rsidR="00382C10" w:rsidRPr="0003530F" w:rsidRDefault="00382C10" w:rsidP="00382C10">
      <w:pPr>
        <w:numPr>
          <w:ilvl w:val="1"/>
          <w:numId w:val="3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b/>
          <w:bCs/>
          <w:lang w:val="fr"/>
        </w:rPr>
        <w:t>Conformité à l’accord de subvention et à la législation applicable.</w:t>
      </w:r>
      <w:r>
        <w:rPr>
          <w:rFonts w:asciiTheme="majorHAnsi" w:eastAsia="Calibri" w:hAnsiTheme="majorHAnsi" w:cstheme="majorHAnsi"/>
          <w:lang w:val="fr"/>
        </w:rPr>
        <w:t xml:space="preserve"> </w:t>
      </w:r>
      <w:r>
        <w:rPr>
          <w:rFonts w:asciiTheme="majorHAnsi" w:eastAsia="Calibri" w:hAnsiTheme="majorHAnsi" w:cstheme="majorHAnsi"/>
          <w:noProof/>
          <w:lang w:val="fr"/>
        </w:rPr>
        <w:t>Cette section indique tous les cas de non-conformité</w:t>
      </w:r>
      <w:r>
        <w:rPr>
          <w:rFonts w:asciiTheme="majorHAnsi" w:eastAsia="Calibri" w:hAnsiTheme="majorHAnsi" w:cstheme="majorHAnsi"/>
          <w:lang w:val="fr"/>
        </w:rPr>
        <w:t xml:space="preserve"> avec l’accord de subvention correspondant relevés par l’auditeur dans le cadre de ses travaux ayant conduit à la formulation de son opinion d’audit des états financiers des subventions à des fins spéciales, ou atteste qu’aucun cas de non-conformité n’a été relevé dans l’échantillon audité. Cela signifie que l’auditeur doit s’assurer que la dépense correspond à l’activité approuvée dans le budget détaillé de la période à l'examen et correspond également à toute réaffectation budgétaire subséquente, y compris les approbations requises pour les réaffectations.</w:t>
      </w:r>
    </w:p>
    <w:p w14:paraId="5C7D0AB2" w14:textId="77777777" w:rsidR="00382C10" w:rsidRPr="0003530F" w:rsidRDefault="00382C10" w:rsidP="00382C10">
      <w:pPr>
        <w:numPr>
          <w:ilvl w:val="1"/>
          <w:numId w:val="3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b/>
          <w:bCs/>
          <w:lang w:val="fr"/>
        </w:rPr>
        <w:lastRenderedPageBreak/>
        <w:t>Rapport coût-efficacité.</w:t>
      </w:r>
      <w:r>
        <w:rPr>
          <w:rFonts w:asciiTheme="majorHAnsi" w:eastAsia="Calibri" w:hAnsiTheme="majorHAnsi" w:cstheme="majorHAnsi"/>
          <w:lang w:val="fr"/>
        </w:rPr>
        <w:t xml:space="preserve"> Cette section comprend l’opinion que l’auditeur a formulée dans le cadre de sa vérification des dépenses liées à la subvention concernant le souci d’économie et d’efficacité du récipiendaire principal et du sous-récipiendaire. L’équipe de pays du Fonds mondial peut demander à l’auditeur de fournir ce service supplémentaire. Tous les constats touchant le rapport coût-efficacité (déficiences des contrôles, </w:t>
      </w:r>
      <w:r>
        <w:rPr>
          <w:rFonts w:asciiTheme="majorHAnsi" w:eastAsia="Calibri" w:hAnsiTheme="majorHAnsi" w:cstheme="majorHAnsi"/>
          <w:noProof/>
          <w:lang w:val="fr"/>
        </w:rPr>
        <w:t>pertes estimées</w:t>
      </w:r>
      <w:r>
        <w:rPr>
          <w:rFonts w:asciiTheme="majorHAnsi" w:eastAsia="Calibri" w:hAnsiTheme="majorHAnsi" w:cstheme="majorHAnsi"/>
          <w:lang w:val="fr"/>
        </w:rPr>
        <w:t xml:space="preserve"> découlant de l’inefficacité </w:t>
      </w:r>
      <w:r>
        <w:rPr>
          <w:rFonts w:asciiTheme="majorHAnsi" w:eastAsia="Calibri" w:hAnsiTheme="majorHAnsi" w:cstheme="majorHAnsi"/>
          <w:noProof/>
          <w:lang w:val="fr"/>
        </w:rPr>
        <w:t>de</w:t>
      </w:r>
      <w:r>
        <w:rPr>
          <w:rFonts w:asciiTheme="majorHAnsi" w:eastAsia="Calibri" w:hAnsiTheme="majorHAnsi" w:cstheme="majorHAnsi"/>
          <w:lang w:val="fr"/>
        </w:rPr>
        <w:t xml:space="preserve"> processus et autres) doivent </w:t>
      </w:r>
      <w:r>
        <w:rPr>
          <w:rFonts w:asciiTheme="majorHAnsi" w:eastAsia="Calibri" w:hAnsiTheme="majorHAnsi" w:cstheme="majorHAnsi"/>
          <w:noProof/>
          <w:lang w:val="fr"/>
        </w:rPr>
        <w:t>être décrits</w:t>
      </w:r>
      <w:r>
        <w:rPr>
          <w:rFonts w:asciiTheme="majorHAnsi" w:eastAsia="Calibri" w:hAnsiTheme="majorHAnsi" w:cstheme="majorHAnsi"/>
          <w:lang w:val="fr"/>
        </w:rPr>
        <w:t xml:space="preserve"> dans cette section de la lettre de recommandation.</w:t>
      </w:r>
    </w:p>
    <w:p w14:paraId="44103637" w14:textId="5A855452" w:rsidR="00382C10" w:rsidRPr="0003530F" w:rsidRDefault="00382C10" w:rsidP="00382C10">
      <w:pPr>
        <w:numPr>
          <w:ilvl w:val="1"/>
          <w:numId w:val="3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b/>
          <w:bCs/>
          <w:lang w:val="fr"/>
        </w:rPr>
        <w:t>Dépenses irrecevables et non justifiées.</w:t>
      </w:r>
      <w:r>
        <w:rPr>
          <w:rFonts w:asciiTheme="majorHAnsi" w:eastAsia="Calibri" w:hAnsiTheme="majorHAnsi" w:cstheme="majorHAnsi"/>
          <w:lang w:val="fr"/>
        </w:rPr>
        <w:t xml:space="preserve"> Cette section présente sous forme de tableau les dépenses non conformes relevées par les auditeurs dans le cadre de leur travail. Les auditeurs doivent fournir au Fonds mondial la version électronique, lisible par machine, de cette section.</w:t>
      </w:r>
    </w:p>
    <w:p w14:paraId="3CFCB6DE" w14:textId="3457C1ED" w:rsidR="00382C10" w:rsidRPr="0003530F" w:rsidRDefault="00382C10" w:rsidP="00382C10">
      <w:pPr>
        <w:numPr>
          <w:ilvl w:val="1"/>
          <w:numId w:val="35"/>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b/>
          <w:bCs/>
          <w:lang w:val="fr"/>
        </w:rPr>
        <w:t xml:space="preserve">Suivi des rapports d’audit précédents. </w:t>
      </w:r>
      <w:r>
        <w:rPr>
          <w:rFonts w:asciiTheme="majorHAnsi" w:eastAsia="Calibri" w:hAnsiTheme="majorHAnsi" w:cstheme="majorHAnsi"/>
          <w:lang w:val="fr"/>
        </w:rPr>
        <w:t>Dans cette section, l’auditeur fait le point sur l’état d’avancement des recommandations formulées dans les précédents rapports d’audit.</w:t>
      </w:r>
    </w:p>
    <w:p w14:paraId="1403233B" w14:textId="04965F5A"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299" w:name="_Toc101550426"/>
      <w:bookmarkStart w:id="300" w:name="_Toc101541039"/>
      <w:bookmarkStart w:id="301" w:name="_Toc101540599"/>
      <w:bookmarkStart w:id="302" w:name="_Toc101540469"/>
      <w:bookmarkStart w:id="303" w:name="_Toc101540370"/>
      <w:bookmarkStart w:id="304" w:name="_Toc101540319"/>
      <w:bookmarkStart w:id="305" w:name="_Toc101540261"/>
      <w:bookmarkStart w:id="306" w:name="_Toc101540080"/>
      <w:bookmarkStart w:id="307" w:name="_Toc101539175"/>
      <w:bookmarkStart w:id="308" w:name="_Toc101538325"/>
      <w:bookmarkStart w:id="309" w:name="_Toc100821761"/>
      <w:bookmarkStart w:id="310" w:name="_Toc100560015"/>
      <w:bookmarkStart w:id="311" w:name="_Toc5026435"/>
      <w:bookmarkStart w:id="312" w:name="_Toc19971634"/>
      <w:bookmarkStart w:id="313" w:name="_Toc19971800"/>
      <w:bookmarkStart w:id="314" w:name="_Toc19971966"/>
      <w:bookmarkStart w:id="315" w:name="_Toc19972132"/>
      <w:bookmarkStart w:id="316" w:name="_Toc19972298"/>
      <w:bookmarkStart w:id="317" w:name="_Toc19972464"/>
      <w:bookmarkStart w:id="318" w:name="_Toc20466658"/>
      <w:bookmarkStart w:id="319" w:name="_Toc103940845"/>
      <w:bookmarkEnd w:id="299"/>
      <w:bookmarkEnd w:id="300"/>
      <w:bookmarkEnd w:id="301"/>
      <w:bookmarkEnd w:id="302"/>
      <w:bookmarkEnd w:id="303"/>
      <w:bookmarkEnd w:id="304"/>
      <w:bookmarkEnd w:id="305"/>
      <w:bookmarkEnd w:id="306"/>
      <w:bookmarkEnd w:id="307"/>
      <w:bookmarkEnd w:id="308"/>
      <w:bookmarkEnd w:id="309"/>
      <w:bookmarkEnd w:id="310"/>
      <w:r>
        <w:rPr>
          <w:rFonts w:asciiTheme="majorHAnsi" w:eastAsia="MS Gothic" w:hAnsiTheme="majorHAnsi" w:cstheme="majorHAnsi"/>
          <w:b/>
          <w:bCs/>
          <w:szCs w:val="24"/>
          <w:lang w:val="fr"/>
        </w:rPr>
        <w:t>Gestion des risques</w:t>
      </w:r>
      <w:bookmarkEnd w:id="311"/>
      <w:bookmarkEnd w:id="312"/>
      <w:bookmarkEnd w:id="313"/>
      <w:bookmarkEnd w:id="314"/>
      <w:bookmarkEnd w:id="315"/>
      <w:bookmarkEnd w:id="316"/>
      <w:bookmarkEnd w:id="317"/>
      <w:bookmarkEnd w:id="318"/>
      <w:bookmarkEnd w:id="319"/>
    </w:p>
    <w:p w14:paraId="47D8044F" w14:textId="10AD21B5" w:rsidR="00382C10" w:rsidRPr="00382C10" w:rsidRDefault="00382C10" w:rsidP="00382C10">
      <w:pPr>
        <w:numPr>
          <w:ilvl w:val="0"/>
          <w:numId w:val="36"/>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En tout ce qui concerne la section de la lettre de recommandation sur la gestion financière, le cadre de référence exige que l’auditeur détermine le degré de risque de chacune des six sous-catégories des risques financiers définies par le Fonds mondial. L’auditeur doit fournir un tableau sommaire des niveaux de risque perçus au moyen des niveaux de risque définis par le Fonds mondial (Faible, Moyen, Élevé, Très élevé) avec une justification. Les six catégories sont :</w:t>
      </w:r>
    </w:p>
    <w:p w14:paraId="452A291C" w14:textId="77777777" w:rsidR="00382C10" w:rsidRPr="0003530F" w:rsidRDefault="00382C10"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modalités inadaptées de circulation des capitaux ; </w:t>
      </w:r>
    </w:p>
    <w:p w14:paraId="7D77EBEA" w14:textId="77777777" w:rsidR="00382C10" w:rsidRPr="00382C10" w:rsidRDefault="00382C10" w:rsidP="00A30A41">
      <w:pPr>
        <w:numPr>
          <w:ilvl w:val="1"/>
          <w:numId w:val="4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 xml:space="preserve">contrôles internes inadéquats ; </w:t>
      </w:r>
    </w:p>
    <w:p w14:paraId="7CA25A8D" w14:textId="77777777" w:rsidR="00382C10" w:rsidRPr="0003530F" w:rsidRDefault="00382C10"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fraude financière, corruption et vol ; </w:t>
      </w:r>
    </w:p>
    <w:p w14:paraId="7B78DED0" w14:textId="77777777" w:rsidR="00382C10" w:rsidRPr="0003530F" w:rsidRDefault="00382C10" w:rsidP="00A30A41">
      <w:pPr>
        <w:numPr>
          <w:ilvl w:val="1"/>
          <w:numId w:val="44"/>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comptabilité et rapports financiers inadéquats ; </w:t>
      </w:r>
    </w:p>
    <w:p w14:paraId="6708BAAF" w14:textId="77777777" w:rsidR="00382C10" w:rsidRPr="00382C10" w:rsidRDefault="00382C10" w:rsidP="00A30A41">
      <w:pPr>
        <w:numPr>
          <w:ilvl w:val="1"/>
          <w:numId w:val="4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rapport coût-efficacité médiocre ;</w:t>
      </w:r>
    </w:p>
    <w:p w14:paraId="54EEC5C8" w14:textId="77777777" w:rsidR="00382C10" w:rsidRPr="00382C10" w:rsidRDefault="00382C10" w:rsidP="00A30A41">
      <w:pPr>
        <w:numPr>
          <w:ilvl w:val="1"/>
          <w:numId w:val="4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fr"/>
        </w:rPr>
        <w:t>modalités d’audit inadéquates.</w:t>
      </w:r>
    </w:p>
    <w:p w14:paraId="483C5FDE" w14:textId="4C9824C8" w:rsidR="00382C10" w:rsidRPr="0003530F" w:rsidRDefault="00382C10" w:rsidP="00382C10">
      <w:pPr>
        <w:numPr>
          <w:ilvl w:val="0"/>
          <w:numId w:val="36"/>
        </w:numPr>
        <w:spacing w:before="0" w:after="120" w:line="240" w:lineRule="auto"/>
        <w:jc w:val="both"/>
        <w:rPr>
          <w:rFonts w:asciiTheme="majorHAnsi" w:eastAsia="Times New Roman" w:hAnsiTheme="majorHAnsi" w:cstheme="majorHAnsi"/>
          <w:color w:val="000000"/>
          <w:szCs w:val="24"/>
          <w:lang w:val="fr-FR"/>
        </w:rPr>
      </w:pPr>
      <w:r>
        <w:rPr>
          <w:rFonts w:asciiTheme="majorHAnsi" w:eastAsia="MS Gothic" w:hAnsiTheme="majorHAnsi" w:cstheme="majorHAnsi"/>
          <w:lang w:val="fr"/>
        </w:rPr>
        <w:t>Les définitions de chacune de ces catégories figurent dans les</w:t>
      </w:r>
      <w:r>
        <w:rPr>
          <w:rFonts w:asciiTheme="majorHAnsi" w:eastAsia="MS Gothic" w:hAnsiTheme="majorHAnsi" w:cstheme="majorHAnsi"/>
          <w:color w:val="000000"/>
          <w:szCs w:val="24"/>
          <w:lang w:val="fr"/>
        </w:rPr>
        <w:t xml:space="preserve"> </w:t>
      </w:r>
      <w:hyperlink r:id="rId22" w:history="1">
        <w:r>
          <w:rPr>
            <w:rFonts w:asciiTheme="majorHAnsi" w:eastAsia="MS Gothic" w:hAnsiTheme="majorHAnsi" w:cstheme="majorHAnsi"/>
            <w:i/>
            <w:iCs/>
            <w:color w:val="0000FF"/>
            <w:sz w:val="24"/>
            <w:szCs w:val="24"/>
            <w:u w:val="single"/>
            <w:lang w:val="fr"/>
          </w:rPr>
          <w:t>Directives sur la gestion des risques financiers du Fonds mondial</w:t>
        </w:r>
      </w:hyperlink>
      <w:r>
        <w:rPr>
          <w:rFonts w:asciiTheme="majorHAnsi" w:eastAsia="MS Gothic" w:hAnsiTheme="majorHAnsi" w:cstheme="majorHAnsi"/>
          <w:i/>
          <w:iCs/>
          <w:color w:val="0000FF"/>
          <w:szCs w:val="24"/>
          <w:u w:val="single"/>
          <w:vertAlign w:val="superscript"/>
          <w:lang w:val="fr"/>
        </w:rPr>
        <w:footnoteReference w:id="18"/>
      </w:r>
      <w:r>
        <w:rPr>
          <w:rFonts w:asciiTheme="majorHAnsi" w:eastAsia="MS Gothic" w:hAnsiTheme="majorHAnsi" w:cstheme="majorHAnsi"/>
          <w:color w:val="000000"/>
          <w:szCs w:val="24"/>
          <w:lang w:val="fr"/>
        </w:rPr>
        <w:t xml:space="preserve">. L’auditeur est censé </w:t>
      </w:r>
      <w:r>
        <w:rPr>
          <w:rFonts w:asciiTheme="majorHAnsi" w:eastAsia="MS Gothic" w:hAnsiTheme="majorHAnsi" w:cstheme="majorHAnsi"/>
          <w:noProof/>
          <w:color w:val="000000"/>
          <w:szCs w:val="24"/>
          <w:lang w:val="fr"/>
        </w:rPr>
        <w:t>classer</w:t>
      </w:r>
      <w:r>
        <w:rPr>
          <w:rFonts w:asciiTheme="majorHAnsi" w:eastAsia="MS Gothic" w:hAnsiTheme="majorHAnsi" w:cstheme="majorHAnsi"/>
          <w:color w:val="000000"/>
          <w:szCs w:val="24"/>
          <w:lang w:val="fr"/>
        </w:rPr>
        <w:t xml:space="preserve"> chaque </w:t>
      </w:r>
      <w:r>
        <w:rPr>
          <w:rFonts w:asciiTheme="majorHAnsi" w:eastAsia="MS Gothic" w:hAnsiTheme="majorHAnsi" w:cstheme="majorHAnsi"/>
          <w:noProof/>
          <w:color w:val="000000"/>
          <w:szCs w:val="24"/>
          <w:lang w:val="fr"/>
        </w:rPr>
        <w:t>constatation,</w:t>
      </w:r>
      <w:r>
        <w:rPr>
          <w:rFonts w:asciiTheme="majorHAnsi" w:eastAsia="MS Gothic" w:hAnsiTheme="majorHAnsi" w:cstheme="majorHAnsi"/>
          <w:color w:val="000000"/>
          <w:szCs w:val="24"/>
          <w:lang w:val="fr"/>
        </w:rPr>
        <w:t xml:space="preserve"> le cas échéant, dans l’une de ces six catégories et fournir un tableau récapitulatif présentant les constatations par catégorie de risque et par niveau. Le jugement de l’auditeur sur les principaux risques d’audit et la méthodologie utilisée pour traiter ces risques doivent être indiqués dans cette section.</w:t>
      </w:r>
    </w:p>
    <w:p w14:paraId="7D626FA4" w14:textId="618BBF0B"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320" w:name="_Toc101550428"/>
      <w:bookmarkStart w:id="321" w:name="_Toc101541041"/>
      <w:bookmarkStart w:id="322" w:name="_Toc101540601"/>
      <w:bookmarkStart w:id="323" w:name="_Toc101540471"/>
      <w:bookmarkStart w:id="324" w:name="_Toc101540372"/>
      <w:bookmarkStart w:id="325" w:name="_Toc101540321"/>
      <w:bookmarkStart w:id="326" w:name="_Toc101540263"/>
      <w:bookmarkStart w:id="327" w:name="_Toc101540082"/>
      <w:bookmarkStart w:id="328" w:name="_Toc101539177"/>
      <w:bookmarkStart w:id="329" w:name="_Toc101538327"/>
      <w:bookmarkStart w:id="330" w:name="_Toc100821763"/>
      <w:bookmarkStart w:id="331" w:name="_Toc100560017"/>
      <w:bookmarkStart w:id="332" w:name="_Toc5026436"/>
      <w:bookmarkStart w:id="333" w:name="_Toc19971635"/>
      <w:bookmarkStart w:id="334" w:name="_Toc19971801"/>
      <w:bookmarkStart w:id="335" w:name="_Toc19971967"/>
      <w:bookmarkStart w:id="336" w:name="_Toc19972133"/>
      <w:bookmarkStart w:id="337" w:name="_Toc19972299"/>
      <w:bookmarkStart w:id="338" w:name="_Toc19972465"/>
      <w:bookmarkStart w:id="339" w:name="_Toc20466659"/>
      <w:bookmarkStart w:id="340" w:name="_Toc103940846"/>
      <w:bookmarkEnd w:id="320"/>
      <w:bookmarkEnd w:id="321"/>
      <w:bookmarkEnd w:id="322"/>
      <w:bookmarkEnd w:id="323"/>
      <w:bookmarkEnd w:id="324"/>
      <w:bookmarkEnd w:id="325"/>
      <w:bookmarkEnd w:id="326"/>
      <w:bookmarkEnd w:id="327"/>
      <w:bookmarkEnd w:id="328"/>
      <w:bookmarkEnd w:id="329"/>
      <w:bookmarkEnd w:id="330"/>
      <w:bookmarkEnd w:id="331"/>
      <w:r>
        <w:rPr>
          <w:rFonts w:asciiTheme="majorHAnsi" w:eastAsia="MS Gothic" w:hAnsiTheme="majorHAnsi" w:cstheme="majorHAnsi"/>
          <w:b/>
          <w:bCs/>
          <w:szCs w:val="24"/>
          <w:lang w:val="fr"/>
        </w:rPr>
        <w:t>Autres déclarations importantes</w:t>
      </w:r>
      <w:bookmarkEnd w:id="332"/>
      <w:bookmarkEnd w:id="333"/>
      <w:bookmarkEnd w:id="334"/>
      <w:bookmarkEnd w:id="335"/>
      <w:bookmarkEnd w:id="336"/>
      <w:bookmarkEnd w:id="337"/>
      <w:bookmarkEnd w:id="338"/>
      <w:bookmarkEnd w:id="339"/>
      <w:bookmarkEnd w:id="340"/>
    </w:p>
    <w:p w14:paraId="3ADA84AE" w14:textId="78474395" w:rsidR="00382C10" w:rsidRPr="0003530F" w:rsidRDefault="00382C10" w:rsidP="00A30A41">
      <w:pPr>
        <w:pStyle w:val="ListParagraph"/>
        <w:numPr>
          <w:ilvl w:val="0"/>
          <w:numId w:val="36"/>
        </w:numPr>
        <w:rPr>
          <w:rFonts w:eastAsia="MS Mincho"/>
          <w:szCs w:val="24"/>
          <w:lang w:val="fr-FR"/>
        </w:rPr>
      </w:pPr>
      <w:r>
        <w:rPr>
          <w:rFonts w:asciiTheme="majorHAnsi" w:eastAsia="Calibri" w:hAnsiTheme="majorHAnsi" w:cstheme="majorHAnsi"/>
          <w:lang w:val="fr"/>
        </w:rPr>
        <w:t xml:space="preserve">Sur la base des constatations de la révision du cadre de contrôle interne (y compris éventuellement celles d’un agent tiers) et du niveau de ces constatations, l’auditeur </w:t>
      </w:r>
      <w:r>
        <w:rPr>
          <w:rFonts w:asciiTheme="majorHAnsi" w:eastAsia="Calibri" w:hAnsiTheme="majorHAnsi" w:cstheme="majorHAnsi"/>
          <w:b/>
          <w:bCs/>
          <w:lang w:val="fr"/>
        </w:rPr>
        <w:t>doit</w:t>
      </w:r>
      <w:r>
        <w:rPr>
          <w:rFonts w:asciiTheme="majorHAnsi" w:eastAsia="Calibri" w:hAnsiTheme="majorHAnsi" w:cstheme="majorHAnsi"/>
          <w:lang w:val="fr"/>
        </w:rPr>
        <w:t xml:space="preserve"> pointer à la direction toute autre information importante. </w:t>
      </w:r>
    </w:p>
    <w:p w14:paraId="60C4CC3E" w14:textId="60F8ABC7" w:rsidR="000E28F1" w:rsidRPr="0003530F" w:rsidRDefault="00382C10" w:rsidP="00852F33">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 lettre de recommandation doit comprendre les réponses fournies par le récipiendaire principal lors de la discussion des recommandations d’audit, ainsi qu’un calendrier pour la mise en œuvre des recommandations convenues. Dans les cas où le récipiendaire principal n’accepte pas une constatation de l’audit ou l’auditeur n’est pas d’accord avec l’adéquation de la réponse de la direction, la lettre de recommandation en accusera réception. Toutes les observations et </w:t>
      </w:r>
      <w:r>
        <w:rPr>
          <w:rFonts w:asciiTheme="majorHAnsi" w:eastAsia="Calibri" w:hAnsiTheme="majorHAnsi" w:cstheme="majorHAnsi"/>
          <w:lang w:val="fr"/>
        </w:rPr>
        <w:lastRenderedPageBreak/>
        <w:t>recommandations seront discutées avec la direction du récipiendaire principal avant la finalisation de la lettre.</w:t>
      </w:r>
    </w:p>
    <w:p w14:paraId="2B6343B4" w14:textId="77777777" w:rsidR="00BE65F0" w:rsidRPr="0003530F" w:rsidRDefault="00BE65F0" w:rsidP="00A30A41">
      <w:pPr>
        <w:spacing w:before="0" w:after="120" w:line="240" w:lineRule="auto"/>
        <w:ind w:left="360"/>
        <w:jc w:val="both"/>
        <w:rPr>
          <w:rFonts w:asciiTheme="majorHAnsi" w:eastAsia="Calibri" w:hAnsiTheme="majorHAnsi" w:cstheme="majorHAnsi"/>
          <w:lang w:val="fr-FR"/>
        </w:rPr>
      </w:pPr>
    </w:p>
    <w:p w14:paraId="61CD6C98" w14:textId="7EF8B9AB" w:rsidR="000E28F1" w:rsidRPr="00A30A41" w:rsidRDefault="000E28F1" w:rsidP="00A30A41">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rPr>
      </w:pPr>
      <w:bookmarkStart w:id="341" w:name="_Toc101550430"/>
      <w:bookmarkStart w:id="342" w:name="_Toc101541043"/>
      <w:bookmarkStart w:id="343" w:name="_Toc101540603"/>
      <w:bookmarkStart w:id="344" w:name="_Toc101540473"/>
      <w:bookmarkStart w:id="345" w:name="_Toc103940847"/>
      <w:bookmarkEnd w:id="341"/>
      <w:bookmarkEnd w:id="342"/>
      <w:bookmarkEnd w:id="343"/>
      <w:bookmarkEnd w:id="344"/>
      <w:r>
        <w:rPr>
          <w:rFonts w:asciiTheme="majorHAnsi" w:eastAsia="MS Gothic" w:hAnsiTheme="majorHAnsi" w:cstheme="majorHAnsi"/>
          <w:b/>
          <w:bCs/>
          <w:color w:val="000000"/>
          <w:sz w:val="24"/>
          <w:szCs w:val="28"/>
          <w:lang w:val="fr"/>
        </w:rPr>
        <w:t>Processus d’examen du rapport provisoire</w:t>
      </w:r>
      <w:bookmarkEnd w:id="345"/>
    </w:p>
    <w:p w14:paraId="54FDB2EB" w14:textId="77777777" w:rsidR="00382C10" w:rsidRPr="0003530F" w:rsidRDefault="00382C10">
      <w:pPr>
        <w:numPr>
          <w:ilvl w:val="0"/>
          <w:numId w:val="36"/>
        </w:numPr>
        <w:spacing w:before="0" w:after="120" w:line="240" w:lineRule="auto"/>
        <w:jc w:val="both"/>
        <w:rPr>
          <w:rFonts w:asciiTheme="majorHAnsi" w:eastAsia="Calibri" w:hAnsiTheme="majorHAnsi" w:cstheme="majorHAnsi"/>
          <w:lang w:val="fr-FR"/>
        </w:rPr>
      </w:pPr>
      <w:bookmarkStart w:id="346" w:name="_Toc101540329"/>
      <w:bookmarkStart w:id="347" w:name="_Toc101540271"/>
      <w:bookmarkStart w:id="348" w:name="_Toc101540090"/>
      <w:bookmarkStart w:id="349" w:name="_Toc101539185"/>
      <w:bookmarkStart w:id="350" w:name="_Toc101538334"/>
      <w:bookmarkStart w:id="351" w:name="_Toc100821770"/>
      <w:bookmarkStart w:id="352" w:name="_Toc100560024"/>
      <w:bookmarkStart w:id="353" w:name="_Toc101540327"/>
      <w:bookmarkStart w:id="354" w:name="_Toc101540269"/>
      <w:bookmarkStart w:id="355" w:name="_Toc101540088"/>
      <w:bookmarkStart w:id="356" w:name="_Toc101539183"/>
      <w:bookmarkStart w:id="357" w:name="_Toc101538332"/>
      <w:bookmarkStart w:id="358" w:name="_Toc100821768"/>
      <w:bookmarkStart w:id="359" w:name="_Toc100560022"/>
      <w:bookmarkStart w:id="360" w:name="_Toc101540325"/>
      <w:bookmarkStart w:id="361" w:name="_Toc101540267"/>
      <w:bookmarkStart w:id="362" w:name="_Toc101540086"/>
      <w:bookmarkStart w:id="363" w:name="_Toc101539181"/>
      <w:bookmarkStart w:id="364" w:name="_Toc101538330"/>
      <w:bookmarkStart w:id="365" w:name="_Toc100821766"/>
      <w:bookmarkStart w:id="366" w:name="_Toc100560020"/>
      <w:bookmarkStart w:id="367" w:name="_Toc101540324"/>
      <w:bookmarkStart w:id="368" w:name="_Toc101540266"/>
      <w:bookmarkStart w:id="369" w:name="_Toc101540085"/>
      <w:bookmarkStart w:id="370" w:name="_Toc101539180"/>
      <w:bookmarkStart w:id="371" w:name="_Toc101538329"/>
      <w:bookmarkStart w:id="372" w:name="_Toc100821765"/>
      <w:bookmarkStart w:id="373" w:name="_Toc100560019"/>
      <w:bookmarkStart w:id="374" w:name="_Toc101540084"/>
      <w:bookmarkStart w:id="375" w:name="_Toc101539179"/>
      <w:bookmarkStart w:id="376" w:name="_Hlk5217864"/>
      <w:bookmarkStart w:id="377" w:name="_Hlk5226559"/>
      <w:bookmarkStart w:id="378" w:name="_Hlk502632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asciiTheme="majorHAnsi" w:eastAsia="Calibri" w:hAnsiTheme="majorHAnsi" w:cstheme="majorHAnsi"/>
          <w:lang w:val="fr"/>
        </w:rPr>
        <w:t xml:space="preserve">Le récipiendaire principal doit présenter ses commentaires sur le rapport provisoire de l’auditeur dans les dix jours civils à compter de sa réception. L’équipe de pays du Fonds mondial concernée peut également demander à consulter le rapport provisoire. À la suite de l’examen du rapport provisoire et si le Fonds mondial demande à l’auditeur de mener des travaux supplémentaires, une nouvelle date pour la communication de l’information peut être fixée. </w:t>
      </w:r>
    </w:p>
    <w:p w14:paraId="23C5B54B"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L’auditeur doit soumettre une nouvelle version du rapport provisoire prenant en compte les commentaires du récipiendaire principal (et, éventuellement, du Fonds mondial) dans un délai de cinq jours calendaires à compter de la réception des commentaires. Le récipiendaire principal enverra ses commentaires sur le rapport provisoire mis à jour dans un délai de cinq jours calendaires.</w:t>
      </w:r>
    </w:p>
    <w:bookmarkEnd w:id="376"/>
    <w:p w14:paraId="72C8C281" w14:textId="357084CC"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Si les commentaires du récipiendaire principal ne sont pas reçus dans ce délai, l’auditeur le relancera jusqu’à ce qu’une réponse écrite du récipiendaire principal soit reçue. En cas de retard excessif de la part du récipiendaire principal (plus de dix jours calendaires), l’auditeur devra contacter le Fonds mondial pour trouver une solution adaptée.</w:t>
      </w:r>
    </w:p>
    <w:p w14:paraId="63EB479F" w14:textId="77777777" w:rsidR="002C4720" w:rsidRPr="0003530F" w:rsidRDefault="002C4720" w:rsidP="00A30A41">
      <w:pPr>
        <w:spacing w:before="0" w:after="120" w:line="240" w:lineRule="auto"/>
        <w:ind w:left="360"/>
        <w:jc w:val="both"/>
        <w:rPr>
          <w:rFonts w:asciiTheme="majorHAnsi" w:eastAsia="Calibri" w:hAnsiTheme="majorHAnsi" w:cstheme="majorHAnsi"/>
          <w:lang w:val="fr-FR"/>
        </w:rPr>
      </w:pPr>
    </w:p>
    <w:p w14:paraId="6E590276" w14:textId="341B7EB4" w:rsidR="00BC0019" w:rsidRPr="00382C10" w:rsidRDefault="00C1660A" w:rsidP="00A30A41">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rPr>
      </w:pPr>
      <w:bookmarkStart w:id="379" w:name="_Toc103940848"/>
      <w:r>
        <w:rPr>
          <w:rFonts w:asciiTheme="majorHAnsi" w:eastAsia="MS Gothic" w:hAnsiTheme="majorHAnsi" w:cstheme="majorHAnsi"/>
          <w:b/>
          <w:bCs/>
          <w:color w:val="000000"/>
          <w:sz w:val="24"/>
          <w:szCs w:val="28"/>
          <w:lang w:val="fr"/>
        </w:rPr>
        <w:t>Rapport final et langue</w:t>
      </w:r>
      <w:bookmarkEnd w:id="379"/>
    </w:p>
    <w:p w14:paraId="0AD0C131" w14:textId="32A05A83" w:rsidR="00B70820" w:rsidRPr="0003530F" w:rsidRDefault="00BC0019" w:rsidP="00B7082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 Le rapport final et la lettre de recommandation doivent être conformes à l’article </w:t>
      </w:r>
      <w:bookmarkStart w:id="380" w:name="_Hlk101786949"/>
      <w:r>
        <w:rPr>
          <w:rFonts w:asciiTheme="majorHAnsi" w:eastAsia="Calibri" w:hAnsiTheme="majorHAnsi" w:cstheme="majorHAnsi"/>
          <w:lang w:val="fr"/>
        </w:rPr>
        <w:t>104 des Directives</w:t>
      </w:r>
      <w:bookmarkEnd w:id="380"/>
      <w:r>
        <w:rPr>
          <w:rFonts w:asciiTheme="majorHAnsi" w:eastAsia="Calibri" w:hAnsiTheme="majorHAnsi" w:cstheme="majorHAnsi"/>
          <w:lang w:val="fr"/>
        </w:rPr>
        <w:t xml:space="preserve"> sur les audits annuels des subventions du Fonds mondial, rédigés dans l’une des langues officielles du Fonds mondial et basés sur les documents types fournis aux annexes 3 et 4 des présents</w:t>
      </w:r>
      <w:r w:rsidR="000E7B75">
        <w:rPr>
          <w:rFonts w:asciiTheme="majorHAnsi" w:eastAsia="Calibri" w:hAnsiTheme="majorHAnsi" w:cstheme="majorHAnsi"/>
          <w:lang w:val="fr"/>
        </w:rPr>
        <w:t xml:space="preserve"> termes de référence</w:t>
      </w:r>
      <w:r>
        <w:rPr>
          <w:rFonts w:asciiTheme="majorHAnsi" w:eastAsia="Calibri" w:hAnsiTheme="majorHAnsi" w:cstheme="majorHAnsi"/>
          <w:lang w:val="fr"/>
        </w:rPr>
        <w:t xml:space="preserve">.     </w:t>
      </w:r>
    </w:p>
    <w:p w14:paraId="6982941A" w14:textId="615B190F" w:rsidR="00AF0705" w:rsidRPr="0003530F" w:rsidRDefault="00B70820" w:rsidP="00926549">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L’auditeur doit remettre trois exemplaires imprimés du rapport final au récipiendaire principal, ainsi qu’une copie électronique lisible sur ordinateur et </w:t>
      </w:r>
      <w:bookmarkStart w:id="381" w:name="_Hlk101799336"/>
      <w:r>
        <w:rPr>
          <w:rFonts w:asciiTheme="majorHAnsi" w:eastAsia="Calibri" w:hAnsiTheme="majorHAnsi" w:cstheme="majorHAnsi"/>
          <w:lang w:val="fr"/>
        </w:rPr>
        <w:t>le fichier Excel des « </w:t>
      </w:r>
      <w:bookmarkStart w:id="382" w:name="_Hlk101787075"/>
      <w:r>
        <w:rPr>
          <w:rFonts w:asciiTheme="majorHAnsi" w:eastAsia="Calibri" w:hAnsiTheme="majorHAnsi" w:cstheme="majorHAnsi"/>
          <w:lang w:val="fr"/>
        </w:rPr>
        <w:t>dépenses non conformes</w:t>
      </w:r>
      <w:bookmarkEnd w:id="381"/>
      <w:bookmarkEnd w:id="382"/>
      <w:r>
        <w:rPr>
          <w:rFonts w:asciiTheme="majorHAnsi" w:eastAsia="Calibri" w:hAnsiTheme="majorHAnsi" w:cstheme="majorHAnsi"/>
          <w:lang w:val="fr"/>
        </w:rPr>
        <w:t> »</w:t>
      </w:r>
      <w:r>
        <w:rPr>
          <w:rFonts w:asciiTheme="majorHAnsi" w:eastAsia="Calibri" w:hAnsiTheme="majorHAnsi" w:cstheme="majorHAnsi"/>
          <w:vertAlign w:val="superscript"/>
          <w:lang w:val="fr"/>
        </w:rPr>
        <w:footnoteReference w:id="19"/>
      </w:r>
      <w:r>
        <w:rPr>
          <w:rFonts w:asciiTheme="majorHAnsi" w:eastAsia="Calibri" w:hAnsiTheme="majorHAnsi" w:cstheme="majorHAnsi"/>
          <w:vertAlign w:val="superscript"/>
          <w:lang w:val="fr"/>
        </w:rPr>
        <w:t xml:space="preserve"> </w:t>
      </w:r>
      <w:r>
        <w:rPr>
          <w:rFonts w:asciiTheme="majorHAnsi" w:eastAsia="Calibri" w:hAnsiTheme="majorHAnsi" w:cstheme="majorHAnsi"/>
          <w:lang w:val="fr"/>
        </w:rPr>
        <w:t>au récipiendaire principal et au Fonds mondial.</w:t>
      </w:r>
      <w:r>
        <w:rPr>
          <w:rFonts w:asciiTheme="majorHAnsi" w:eastAsia="Calibri" w:hAnsiTheme="majorHAnsi" w:cstheme="majorHAnsi"/>
          <w:vertAlign w:val="superscript"/>
          <w:lang w:val="fr"/>
        </w:rPr>
        <w:footnoteReference w:id="20"/>
      </w:r>
      <w:r>
        <w:rPr>
          <w:rFonts w:asciiTheme="majorHAnsi" w:eastAsia="Calibri" w:hAnsiTheme="majorHAnsi" w:cstheme="majorHAnsi"/>
          <w:lang w:val="fr"/>
        </w:rPr>
        <w:t xml:space="preserve"> </w:t>
      </w:r>
    </w:p>
    <w:p w14:paraId="725984A5" w14:textId="77777777" w:rsidR="00382C10" w:rsidRPr="0003530F" w:rsidRDefault="00382C10" w:rsidP="00A30A41">
      <w:pPr>
        <w:spacing w:before="0" w:after="120" w:line="240" w:lineRule="auto"/>
        <w:jc w:val="both"/>
        <w:rPr>
          <w:rFonts w:asciiTheme="majorHAnsi" w:eastAsia="MS Mincho" w:hAnsiTheme="majorHAnsi" w:cstheme="majorHAnsi"/>
          <w:szCs w:val="24"/>
          <w:lang w:val="fr-FR"/>
        </w:rPr>
      </w:pPr>
      <w:bookmarkStart w:id="383" w:name="_Toc100560026"/>
      <w:bookmarkStart w:id="384" w:name="_Toc100821772"/>
      <w:bookmarkStart w:id="385" w:name="_Toc101538336"/>
      <w:bookmarkEnd w:id="377"/>
      <w:bookmarkEnd w:id="383"/>
      <w:bookmarkEnd w:id="384"/>
      <w:bookmarkEnd w:id="385"/>
    </w:p>
    <w:p w14:paraId="6F42AD2B" w14:textId="77777777" w:rsidR="00382C10" w:rsidRPr="0003530F" w:rsidRDefault="00382C10" w:rsidP="00382C10">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lang w:val="fr-FR"/>
        </w:rPr>
      </w:pPr>
      <w:bookmarkStart w:id="386" w:name="_Toc536777654"/>
      <w:bookmarkStart w:id="387" w:name="_Toc5026437"/>
      <w:bookmarkStart w:id="388" w:name="_Toc19971639"/>
      <w:bookmarkStart w:id="389" w:name="_Toc19971805"/>
      <w:bookmarkStart w:id="390" w:name="_Toc19971971"/>
      <w:bookmarkStart w:id="391" w:name="_Toc19972137"/>
      <w:bookmarkStart w:id="392" w:name="_Toc19972303"/>
      <w:bookmarkStart w:id="393" w:name="_Toc19972469"/>
      <w:bookmarkStart w:id="394" w:name="_Toc20466663"/>
      <w:bookmarkStart w:id="395" w:name="_Toc103940849"/>
      <w:r>
        <w:rPr>
          <w:rFonts w:asciiTheme="majorHAnsi" w:eastAsia="MS Gothic" w:hAnsiTheme="majorHAnsi" w:cstheme="majorHAnsi"/>
          <w:b/>
          <w:bCs/>
          <w:color w:val="000000"/>
          <w:sz w:val="24"/>
          <w:szCs w:val="28"/>
          <w:lang w:val="fr"/>
        </w:rPr>
        <w:t>Évaluation des résultats de l’auditeur, rotation et non-reconduction</w:t>
      </w:r>
      <w:bookmarkEnd w:id="386"/>
      <w:bookmarkEnd w:id="387"/>
      <w:bookmarkEnd w:id="388"/>
      <w:bookmarkEnd w:id="389"/>
      <w:bookmarkEnd w:id="390"/>
      <w:bookmarkEnd w:id="391"/>
      <w:bookmarkEnd w:id="392"/>
      <w:bookmarkEnd w:id="393"/>
      <w:bookmarkEnd w:id="394"/>
      <w:bookmarkEnd w:id="395"/>
    </w:p>
    <w:p w14:paraId="78CDF829" w14:textId="782B2D6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L’audit doit se référer aux sections des Directives sur les audits des subventions du Fonds mondial concernant l’évaluation de leurs résultats par le Fonds mondial et l’incidence de celle-ci sur le contrat.</w:t>
      </w:r>
    </w:p>
    <w:p w14:paraId="4BD21499" w14:textId="77777777" w:rsidR="00151D19" w:rsidRPr="0003530F" w:rsidRDefault="00151D19" w:rsidP="00A30A41">
      <w:pPr>
        <w:spacing w:before="0" w:after="120" w:line="240" w:lineRule="auto"/>
        <w:jc w:val="both"/>
        <w:rPr>
          <w:rFonts w:asciiTheme="majorHAnsi" w:eastAsia="Calibri" w:hAnsiTheme="majorHAnsi" w:cstheme="majorHAnsi"/>
          <w:lang w:val="fr-FR"/>
        </w:rPr>
      </w:pPr>
    </w:p>
    <w:p w14:paraId="37AC585A" w14:textId="77777777" w:rsidR="00382C10" w:rsidRPr="00382C10" w:rsidRDefault="00382C10" w:rsidP="00382C10">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rPr>
      </w:pPr>
      <w:bookmarkStart w:id="396" w:name="_Toc101550434"/>
      <w:bookmarkStart w:id="397" w:name="_Toc101541047"/>
      <w:bookmarkStart w:id="398" w:name="_Toc101540607"/>
      <w:bookmarkStart w:id="399" w:name="_Toc101540477"/>
      <w:bookmarkStart w:id="400" w:name="_Toc101540376"/>
      <w:bookmarkStart w:id="401" w:name="_Toc101540333"/>
      <w:bookmarkStart w:id="402" w:name="_Toc101540275"/>
      <w:bookmarkStart w:id="403" w:name="_Toc101540094"/>
      <w:bookmarkStart w:id="404" w:name="_Toc101539189"/>
      <w:bookmarkStart w:id="405" w:name="_Toc101538339"/>
      <w:bookmarkStart w:id="406" w:name="_Toc100821775"/>
      <w:bookmarkStart w:id="407" w:name="_Toc100560029"/>
      <w:bookmarkStart w:id="408" w:name="_Toc20466664"/>
      <w:bookmarkStart w:id="409" w:name="_Toc19972470"/>
      <w:bookmarkStart w:id="410" w:name="_Toc19972304"/>
      <w:bookmarkStart w:id="411" w:name="_Toc19972138"/>
      <w:bookmarkStart w:id="412" w:name="_Toc19971972"/>
      <w:bookmarkStart w:id="413" w:name="_Toc19971806"/>
      <w:bookmarkStart w:id="414" w:name="_Toc19971640"/>
      <w:bookmarkStart w:id="415" w:name="_Toc5026438"/>
      <w:bookmarkStart w:id="416" w:name="_Toc103940850"/>
      <w:bookmarkEnd w:id="378"/>
      <w:bookmarkEnd w:id="396"/>
      <w:bookmarkEnd w:id="397"/>
      <w:bookmarkEnd w:id="398"/>
      <w:bookmarkEnd w:id="399"/>
      <w:bookmarkEnd w:id="400"/>
      <w:bookmarkEnd w:id="401"/>
      <w:bookmarkEnd w:id="402"/>
      <w:bookmarkEnd w:id="403"/>
      <w:bookmarkEnd w:id="404"/>
      <w:bookmarkEnd w:id="405"/>
      <w:bookmarkEnd w:id="406"/>
      <w:bookmarkEnd w:id="407"/>
      <w:r>
        <w:rPr>
          <w:rFonts w:asciiTheme="majorHAnsi" w:eastAsia="MS Gothic" w:hAnsiTheme="majorHAnsi" w:cstheme="majorHAnsi"/>
          <w:b/>
          <w:bCs/>
          <w:color w:val="000000"/>
          <w:sz w:val="24"/>
          <w:szCs w:val="28"/>
          <w:lang w:val="fr"/>
        </w:rPr>
        <w:t>Informations générales</w:t>
      </w:r>
      <w:bookmarkEnd w:id="408"/>
      <w:bookmarkEnd w:id="409"/>
      <w:bookmarkEnd w:id="410"/>
      <w:bookmarkEnd w:id="411"/>
      <w:bookmarkEnd w:id="412"/>
      <w:bookmarkEnd w:id="413"/>
      <w:bookmarkEnd w:id="414"/>
      <w:bookmarkEnd w:id="415"/>
      <w:bookmarkEnd w:id="416"/>
      <w:r>
        <w:rPr>
          <w:rFonts w:asciiTheme="majorHAnsi" w:eastAsia="MS Gothic" w:hAnsiTheme="majorHAnsi" w:cstheme="majorHAnsi"/>
          <w:b/>
          <w:bCs/>
          <w:color w:val="000000"/>
          <w:sz w:val="24"/>
          <w:szCs w:val="28"/>
          <w:lang w:val="fr"/>
        </w:rPr>
        <w:t xml:space="preserve"> </w:t>
      </w:r>
    </w:p>
    <w:p w14:paraId="0657043B" w14:textId="4CFD3D71" w:rsidR="00382C10" w:rsidRPr="0003530F" w:rsidRDefault="00382C10" w:rsidP="00A30A41">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Le cabinet d’audit sélectionné jouira d’un droit de consultation et de visite opportun, entier et illimité au système de gestion financière, aux livres comptables, aux actifs, aux propriétés et au personnel du récipiendaire principal (et des sous-récipiendaires) susceptibles de l’aider à clarifier toute question relative à ses vérifications.</w:t>
      </w:r>
    </w:p>
    <w:p w14:paraId="534A0A99" w14:textId="77777777" w:rsidR="00382C10" w:rsidRPr="0003530F" w:rsidRDefault="00382C10" w:rsidP="00A30A41">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 xml:space="preserve">Pour aider le cabinet d’audit sélectionné à planifier son travail de vérification, le récipiendaire principal fournira au minimum les documents et informations répertoriés ci-après. Dans le cadre </w:t>
      </w:r>
      <w:r>
        <w:rPr>
          <w:rFonts w:asciiTheme="majorHAnsi" w:eastAsia="Calibri" w:hAnsiTheme="majorHAnsi" w:cstheme="majorHAnsi"/>
          <w:lang w:val="fr"/>
        </w:rPr>
        <w:lastRenderedPageBreak/>
        <w:t>des exigences relatives à la compréhension de la nature des activités de l’entité concernée, l’auditeur est fortement encouragé à se familiariser avec les éléments ci-après.</w:t>
      </w:r>
    </w:p>
    <w:p w14:paraId="5A856E24" w14:textId="4E7FDB68" w:rsidR="00382C10" w:rsidRPr="0003530F"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fr-FR"/>
        </w:rPr>
      </w:pPr>
      <w:r>
        <w:rPr>
          <w:rFonts w:asciiTheme="majorHAnsi" w:eastAsia="MS Mincho" w:hAnsiTheme="majorHAnsi" w:cstheme="majorHAnsi"/>
          <w:noProof/>
          <w:szCs w:val="24"/>
          <w:lang w:val="fr"/>
        </w:rPr>
        <w:t xml:space="preserve">Les directives du Fonds mondial relatives aux audits annuels des états financiers des programmes soutenus par une subvention du Fonds mondial : </w:t>
      </w:r>
      <w:hyperlink r:id="rId23" w:history="1">
        <w:r>
          <w:rPr>
            <w:rFonts w:asciiTheme="majorHAnsi" w:eastAsia="MS Mincho" w:hAnsiTheme="majorHAnsi" w:cstheme="majorHAnsi"/>
            <w:i/>
            <w:iCs/>
            <w:noProof/>
            <w:color w:val="0000FF"/>
            <w:szCs w:val="24"/>
            <w:u w:val="single"/>
            <w:lang w:val="fr"/>
          </w:rPr>
          <w:t>Directives et outils – Le Fonds mondial de lutte contre le sida, la tuberculose et le paludisme</w:t>
        </w:r>
      </w:hyperlink>
      <w:r>
        <w:rPr>
          <w:rFonts w:asciiTheme="majorHAnsi" w:eastAsia="MS Mincho" w:hAnsiTheme="majorHAnsi" w:cstheme="majorHAnsi"/>
          <w:i/>
          <w:iCs/>
          <w:noProof/>
          <w:szCs w:val="24"/>
          <w:lang w:val="fr"/>
        </w:rPr>
        <w:t>.</w:t>
      </w:r>
    </w:p>
    <w:p w14:paraId="4BDF3DC2" w14:textId="77777777" w:rsidR="00382C10" w:rsidRPr="0003530F"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fr-FR"/>
        </w:rPr>
      </w:pPr>
      <w:r>
        <w:rPr>
          <w:rFonts w:asciiTheme="majorHAnsi" w:hAnsiTheme="majorHAnsi" w:cstheme="majorHAnsi"/>
          <w:noProof/>
          <w:szCs w:val="24"/>
          <w:lang w:val="fr"/>
        </w:rPr>
        <w:t xml:space="preserve">Les accords de subvention entre le </w:t>
      </w:r>
      <w:r>
        <w:rPr>
          <w:rFonts w:asciiTheme="majorHAnsi" w:hAnsiTheme="majorHAnsi" w:cstheme="majorHAnsi"/>
          <w:lang w:val="fr"/>
        </w:rPr>
        <w:t>récipiendaire principal</w:t>
      </w:r>
      <w:r>
        <w:rPr>
          <w:rFonts w:asciiTheme="majorHAnsi" w:hAnsiTheme="majorHAnsi" w:cstheme="majorHAnsi"/>
          <w:noProof/>
          <w:szCs w:val="24"/>
          <w:lang w:val="fr"/>
        </w:rPr>
        <w:t xml:space="preserve"> et le Fonds mondial et les sous-accords de subvention conclus avec les sous-récipiendaires. Toute correspondance du Fonds mondial marquant son approbation d’un budget reprogrammé touchant l’exercice visé par l’audit.</w:t>
      </w:r>
    </w:p>
    <w:p w14:paraId="4E511DC8" w14:textId="77777777" w:rsidR="00382C10" w:rsidRPr="0003530F"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fr-FR"/>
        </w:rPr>
      </w:pPr>
      <w:r>
        <w:rPr>
          <w:rFonts w:asciiTheme="majorHAnsi" w:eastAsia="MS Mincho" w:hAnsiTheme="majorHAnsi" w:cstheme="majorHAnsi"/>
          <w:noProof/>
          <w:szCs w:val="24"/>
          <w:lang w:val="fr"/>
        </w:rPr>
        <w:t>Les rapports sur les résultats actuels/demande de décaissement (RA/DD) et les lettres de recommandation. L’auditeur doit également obtenir la confirmation des montants décaissés et des créances dues par le Fonds mondial.</w:t>
      </w:r>
    </w:p>
    <w:p w14:paraId="18F0677D" w14:textId="77777777" w:rsidR="00382C10" w:rsidRPr="00382C10" w:rsidRDefault="00382C10" w:rsidP="00382C10">
      <w:pPr>
        <w:numPr>
          <w:ilvl w:val="0"/>
          <w:numId w:val="32"/>
        </w:numPr>
        <w:spacing w:before="0" w:after="120" w:line="240" w:lineRule="auto"/>
        <w:ind w:left="1440"/>
        <w:jc w:val="both"/>
        <w:rPr>
          <w:rFonts w:asciiTheme="majorHAnsi" w:eastAsia="MS Mincho" w:hAnsiTheme="majorHAnsi" w:cstheme="majorHAnsi"/>
          <w:szCs w:val="24"/>
        </w:rPr>
      </w:pPr>
      <w:r>
        <w:rPr>
          <w:rFonts w:asciiTheme="majorHAnsi" w:eastAsia="MS Mincho" w:hAnsiTheme="majorHAnsi" w:cstheme="majorHAnsi"/>
          <w:szCs w:val="24"/>
          <w:lang w:val="fr"/>
        </w:rPr>
        <w:t>Les rapports financiers annuels.</w:t>
      </w:r>
    </w:p>
    <w:p w14:paraId="59BED41D" w14:textId="18D6ED81" w:rsidR="00382C10" w:rsidRPr="0003530F" w:rsidRDefault="00382C10" w:rsidP="00382C10">
      <w:pPr>
        <w:numPr>
          <w:ilvl w:val="0"/>
          <w:numId w:val="32"/>
        </w:numPr>
        <w:spacing w:before="0" w:after="120" w:line="240" w:lineRule="auto"/>
        <w:ind w:left="1440"/>
        <w:jc w:val="both"/>
        <w:rPr>
          <w:rFonts w:asciiTheme="majorHAnsi" w:eastAsia="MS Mincho" w:hAnsiTheme="majorHAnsi" w:cstheme="majorHAnsi"/>
          <w:color w:val="0000FF"/>
          <w:szCs w:val="24"/>
          <w:u w:val="single"/>
          <w:lang w:val="fr-FR"/>
        </w:rPr>
      </w:pPr>
      <w:r>
        <w:rPr>
          <w:rFonts w:asciiTheme="majorHAnsi" w:eastAsia="MS Mincho" w:hAnsiTheme="majorHAnsi" w:cstheme="majorHAnsi"/>
          <w:noProof/>
          <w:szCs w:val="24"/>
          <w:lang w:val="fr"/>
        </w:rPr>
        <w:t xml:space="preserve">Les directives pour l’établissement des budgets des programmes soutenus par une subvention du Fonds mondial : </w:t>
      </w:r>
      <w:r>
        <w:rPr>
          <w:rFonts w:asciiTheme="majorHAnsi" w:eastAsia="MS Mincho" w:hAnsiTheme="majorHAnsi" w:cstheme="majorHAnsi"/>
          <w:noProof/>
          <w:szCs w:val="24"/>
          <w:lang w:val="fr"/>
        </w:rPr>
        <w:fldChar w:fldCharType="begin"/>
      </w:r>
      <w:r>
        <w:rPr>
          <w:rFonts w:asciiTheme="majorHAnsi" w:eastAsia="MS Mincho" w:hAnsiTheme="majorHAnsi" w:cstheme="majorHAnsi"/>
          <w:noProof/>
          <w:szCs w:val="24"/>
          <w:lang w:val="fr"/>
        </w:rPr>
        <w:instrText xml:space="preserve"> HYPERLINK "https://www.theglobalfund.org/media/3261/core_budgetinginglobalfundgrants_guideline_en.pdf" </w:instrText>
      </w:r>
      <w:r>
        <w:rPr>
          <w:rFonts w:asciiTheme="majorHAnsi" w:eastAsia="MS Mincho" w:hAnsiTheme="majorHAnsi" w:cstheme="majorHAnsi"/>
          <w:noProof/>
          <w:szCs w:val="24"/>
          <w:lang w:val="fr"/>
        </w:rPr>
        <w:fldChar w:fldCharType="separate"/>
      </w:r>
      <w:r>
        <w:rPr>
          <w:rFonts w:asciiTheme="majorHAnsi" w:eastAsia="MS Mincho" w:hAnsiTheme="majorHAnsi" w:cstheme="majorHAnsi"/>
          <w:i/>
          <w:iCs/>
          <w:noProof/>
          <w:color w:val="0000FF"/>
          <w:szCs w:val="24"/>
          <w:u w:val="single"/>
          <w:lang w:val="fr"/>
        </w:rPr>
        <w:t>Directives pour l’établissement des budgets des subventions</w:t>
      </w:r>
      <w:r>
        <w:rPr>
          <w:lang w:val="fr"/>
        </w:rPr>
        <w:t>.</w:t>
      </w:r>
    </w:p>
    <w:p w14:paraId="08DC5519" w14:textId="77777777" w:rsidR="00382C10" w:rsidRPr="0003530F" w:rsidRDefault="00382C10" w:rsidP="00382C10">
      <w:pPr>
        <w:spacing w:after="120" w:line="240" w:lineRule="auto"/>
        <w:ind w:left="1440"/>
        <w:jc w:val="both"/>
        <w:rPr>
          <w:rFonts w:asciiTheme="majorHAnsi" w:eastAsia="MS Mincho" w:hAnsiTheme="majorHAnsi" w:cstheme="majorHAnsi"/>
          <w:szCs w:val="24"/>
          <w:lang w:val="fr-FR"/>
        </w:rPr>
      </w:pPr>
      <w:r>
        <w:rPr>
          <w:rFonts w:asciiTheme="majorHAnsi" w:hAnsiTheme="majorHAnsi" w:cstheme="majorHAnsi"/>
          <w:noProof/>
          <w:szCs w:val="24"/>
          <w:lang w:val="fr"/>
        </w:rPr>
        <w:fldChar w:fldCharType="end"/>
      </w:r>
      <w:r>
        <w:rPr>
          <w:rFonts w:asciiTheme="majorHAnsi" w:hAnsiTheme="majorHAnsi" w:cstheme="majorHAnsi"/>
          <w:lang w:val="fr"/>
        </w:rPr>
        <w:t xml:space="preserve"> Les manuels du récipiendaire principal sur les finances</w:t>
      </w:r>
      <w:r>
        <w:rPr>
          <w:rFonts w:asciiTheme="majorHAnsi" w:hAnsiTheme="majorHAnsi" w:cstheme="majorHAnsi"/>
          <w:noProof/>
          <w:szCs w:val="24"/>
          <w:lang w:val="fr"/>
        </w:rPr>
        <w:t>, les achats, la gestion des sous-récipiendaires, etc.</w:t>
      </w:r>
    </w:p>
    <w:p w14:paraId="07B95D87" w14:textId="77777777" w:rsidR="00382C10" w:rsidRPr="0003530F" w:rsidRDefault="00382C10" w:rsidP="00382C10">
      <w:pPr>
        <w:numPr>
          <w:ilvl w:val="0"/>
          <w:numId w:val="32"/>
        </w:numPr>
        <w:spacing w:before="0" w:after="120" w:line="240" w:lineRule="auto"/>
        <w:ind w:left="1440"/>
        <w:jc w:val="both"/>
        <w:rPr>
          <w:rFonts w:asciiTheme="majorHAnsi" w:eastAsia="MS Mincho" w:hAnsiTheme="majorHAnsi" w:cstheme="majorHAnsi"/>
          <w:i/>
          <w:noProof/>
          <w:szCs w:val="24"/>
          <w:lang w:val="fr-FR"/>
        </w:rPr>
      </w:pPr>
      <w:r>
        <w:rPr>
          <w:rFonts w:asciiTheme="majorHAnsi" w:eastAsia="MS Mincho" w:hAnsiTheme="majorHAnsi" w:cstheme="majorHAnsi"/>
          <w:i/>
          <w:iCs/>
          <w:noProof/>
          <w:szCs w:val="24"/>
          <w:lang w:val="fr"/>
        </w:rPr>
        <w:t xml:space="preserve">Il est également recommandé de prendre connaissance de la proposition/note conceptuelle à l’origine du programme mis en œuvre.   </w:t>
      </w:r>
      <w:r>
        <w:rPr>
          <w:rFonts w:asciiTheme="majorHAnsi" w:eastAsia="MS Mincho" w:hAnsiTheme="majorHAnsi" w:cstheme="majorHAnsi"/>
          <w:noProof/>
          <w:szCs w:val="24"/>
          <w:lang w:val="fr"/>
        </w:rPr>
        <w:t xml:space="preserve">Suivez le lien </w:t>
      </w:r>
      <w:hyperlink r:id="rId24" w:history="1">
        <w:r>
          <w:rPr>
            <w:rFonts w:asciiTheme="majorHAnsi" w:eastAsia="MS Mincho" w:hAnsiTheme="majorHAnsi" w:cstheme="majorHAnsi"/>
            <w:i/>
            <w:iCs/>
            <w:noProof/>
            <w:color w:val="0000FF"/>
            <w:szCs w:val="24"/>
            <w:u w:val="single"/>
            <w:lang w:val="fr"/>
          </w:rPr>
          <w:t>Portefeuille de subventions - Le Fonds mondial de lutte contre le sida, la tuberculose et le paludisme</w:t>
        </w:r>
      </w:hyperlink>
      <w:r>
        <w:rPr>
          <w:rFonts w:asciiTheme="majorHAnsi" w:eastAsia="MS Mincho" w:hAnsiTheme="majorHAnsi" w:cstheme="majorHAnsi"/>
          <w:noProof/>
          <w:szCs w:val="24"/>
          <w:lang w:val="fr"/>
        </w:rPr>
        <w:t xml:space="preserve"> pour accéder aux propositions classées par pays.</w:t>
      </w:r>
    </w:p>
    <w:p w14:paraId="264DBE9C" w14:textId="77777777" w:rsidR="00382C10" w:rsidRPr="0003530F" w:rsidRDefault="00382C10" w:rsidP="00382C10">
      <w:pPr>
        <w:numPr>
          <w:ilvl w:val="0"/>
          <w:numId w:val="36"/>
        </w:numPr>
        <w:spacing w:before="0" w:after="120" w:line="240" w:lineRule="auto"/>
        <w:jc w:val="both"/>
        <w:rPr>
          <w:rFonts w:asciiTheme="majorHAnsi" w:eastAsia="Calibri" w:hAnsiTheme="majorHAnsi" w:cstheme="majorHAnsi"/>
          <w:lang w:val="fr-FR"/>
        </w:rPr>
      </w:pPr>
      <w:r>
        <w:rPr>
          <w:rFonts w:asciiTheme="majorHAnsi" w:eastAsia="Calibri" w:hAnsiTheme="majorHAnsi" w:cstheme="majorHAnsi"/>
          <w:lang w:val="fr"/>
        </w:rPr>
        <w:t>Avant de préparer leur plan d’audit, les auditeurs sont vivement encouragés à contacter l’agent local du Fonds afin que celui-ci puisse attirer leur attention, en amont, sur les principaux sujets de préoccupation et lacunes. Au cours de l’audit, les auditeurs sont également invités à contacter l’agent local du Fonds, selon le besoin, en vue d’obtenir toute information ou clarification supplémentaire.</w:t>
      </w:r>
    </w:p>
    <w:sectPr w:rsidR="00382C10" w:rsidRPr="0003530F" w:rsidSect="00A30A41">
      <w:headerReference w:type="default" r:id="rId25"/>
      <w:footerReference w:type="default" r:id="rId26"/>
      <w:headerReference w:type="first" r:id="rId27"/>
      <w:footerReference w:type="first" r:id="rId28"/>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F710" w14:textId="77777777" w:rsidR="001F16CF" w:rsidRDefault="001F16CF" w:rsidP="0013691B">
      <w:pPr>
        <w:spacing w:after="0" w:line="240" w:lineRule="auto"/>
      </w:pPr>
      <w:r>
        <w:separator/>
      </w:r>
    </w:p>
  </w:endnote>
  <w:endnote w:type="continuationSeparator" w:id="0">
    <w:p w14:paraId="0737E36B" w14:textId="77777777" w:rsidR="001F16CF" w:rsidRDefault="001F16CF" w:rsidP="0013691B">
      <w:pPr>
        <w:spacing w:after="0" w:line="240" w:lineRule="auto"/>
      </w:pPr>
      <w:r>
        <w:continuationSeparator/>
      </w:r>
    </w:p>
  </w:endnote>
  <w:endnote w:type="continuationNotice" w:id="1">
    <w:p w14:paraId="00EDE5E6" w14:textId="77777777" w:rsidR="001F16CF" w:rsidRDefault="001F16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ED64" w14:textId="77777777" w:rsidR="007C7F1E" w:rsidRDefault="007C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0F4" w14:textId="279064CD" w:rsidR="00813D40" w:rsidRPr="004551D2" w:rsidRDefault="00813D40"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1FC6" w14:textId="77777777" w:rsidR="007C7F1E" w:rsidRDefault="007C7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3629" w14:textId="77777777" w:rsidR="005225E4" w:rsidRDefault="005225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5E" w14:textId="77777777" w:rsidR="005225E4" w:rsidRDefault="005225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B16" w14:textId="77777777" w:rsidR="005225E4" w:rsidRDefault="005225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656787"/>
      <w:docPartObj>
        <w:docPartGallery w:val="Page Numbers (Bottom of Page)"/>
        <w:docPartUnique/>
      </w:docPartObj>
    </w:sdtPr>
    <w:sdtEndPr>
      <w:rPr>
        <w:noProof/>
      </w:rPr>
    </w:sdtEndPr>
    <w:sdtContent>
      <w:p w14:paraId="22AE55A3" w14:textId="579DB719" w:rsidR="007C7F1E" w:rsidRDefault="007C7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AE610" w14:textId="77777777" w:rsidR="00C86D6F" w:rsidRPr="000E4978" w:rsidRDefault="00C86D6F" w:rsidP="000E49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EA2F" w14:textId="77777777" w:rsidR="00C86D6F" w:rsidRDefault="00C86D6F" w:rsidP="00C8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994F" w14:textId="77777777" w:rsidR="001F16CF" w:rsidRDefault="001F16CF" w:rsidP="0013691B">
      <w:pPr>
        <w:spacing w:after="0" w:line="240" w:lineRule="auto"/>
      </w:pPr>
      <w:r>
        <w:separator/>
      </w:r>
    </w:p>
  </w:footnote>
  <w:footnote w:type="continuationSeparator" w:id="0">
    <w:p w14:paraId="6F8ECCDE" w14:textId="77777777" w:rsidR="001F16CF" w:rsidRDefault="001F16CF" w:rsidP="0013691B">
      <w:pPr>
        <w:spacing w:after="0" w:line="240" w:lineRule="auto"/>
      </w:pPr>
      <w:r>
        <w:continuationSeparator/>
      </w:r>
    </w:p>
  </w:footnote>
  <w:footnote w:type="continuationNotice" w:id="1">
    <w:p w14:paraId="0CC66B4C" w14:textId="77777777" w:rsidR="001F16CF" w:rsidRDefault="001F16CF">
      <w:pPr>
        <w:spacing w:before="0" w:after="0" w:line="240" w:lineRule="auto"/>
      </w:pPr>
    </w:p>
  </w:footnote>
  <w:footnote w:id="2">
    <w:p w14:paraId="07C8C97E" w14:textId="76F0838D" w:rsidR="006240C2" w:rsidRPr="0003530F" w:rsidRDefault="006240C2">
      <w:pPr>
        <w:pStyle w:val="FootnoteText"/>
        <w:rPr>
          <w:lang w:val="fr-FR"/>
        </w:rPr>
      </w:pPr>
      <w:r>
        <w:rPr>
          <w:rStyle w:val="FootnoteReference"/>
          <w:lang w:val="fr"/>
        </w:rPr>
        <w:footnoteRef/>
      </w:r>
      <w:r>
        <w:rPr>
          <w:lang w:val="fr"/>
        </w:rPr>
        <w:t xml:space="preserve"> Lois : référence au Règlement relatif aux subventions du Fonds mondial (2014), articles 8.4 et 9.4 (lien : https://www.theglobalfund.org/media/5682/core_grant_regulations_en.pdf)</w:t>
      </w:r>
    </w:p>
  </w:footnote>
  <w:footnote w:id="3">
    <w:p w14:paraId="57C53426" w14:textId="5800A308" w:rsidR="00360A8E" w:rsidRPr="0003530F" w:rsidRDefault="00360A8E">
      <w:pPr>
        <w:pStyle w:val="FootnoteText"/>
        <w:rPr>
          <w:lang w:val="fr-FR"/>
        </w:rPr>
      </w:pPr>
      <w:r>
        <w:rPr>
          <w:rStyle w:val="FootnoteReference"/>
          <w:lang w:val="fr"/>
        </w:rPr>
        <w:footnoteRef/>
      </w:r>
      <w:r>
        <w:rPr>
          <w:lang w:val="fr"/>
        </w:rPr>
        <w:t xml:space="preserve"> Par exemple : règlements sur la sécurité sociale, les taxes, les achats ou l’élimination des médicaments.</w:t>
      </w:r>
    </w:p>
  </w:footnote>
  <w:footnote w:id="4">
    <w:p w14:paraId="4C562759" w14:textId="77777777" w:rsidR="003E6735" w:rsidRPr="0003530F" w:rsidRDefault="003E6735" w:rsidP="00A30A41">
      <w:pPr>
        <w:pStyle w:val="FootnoteText"/>
        <w:spacing w:before="0"/>
        <w:rPr>
          <w:rFonts w:ascii="Georgia" w:hAnsi="Georgia"/>
          <w:szCs w:val="16"/>
          <w:lang w:val="fr-FR"/>
        </w:rPr>
      </w:pPr>
      <w:r>
        <w:rPr>
          <w:rStyle w:val="FootnoteReference"/>
          <w:rFonts w:ascii="Georgia" w:hAnsi="Georgia"/>
          <w:szCs w:val="16"/>
          <w:lang w:val="fr"/>
        </w:rPr>
        <w:footnoteRef/>
      </w:r>
      <w:r>
        <w:rPr>
          <w:rFonts w:ascii="Georgia" w:hAnsi="Georgia"/>
          <w:szCs w:val="16"/>
          <w:lang w:val="fr"/>
        </w:rPr>
        <w:t xml:space="preserve"> Comme les agents fiscaux, les agents fiduciaires ou tout autre tiers auquel le récipiendaire principal fait appel pour atténuer les risques.</w:t>
      </w:r>
    </w:p>
  </w:footnote>
  <w:footnote w:id="5">
    <w:p w14:paraId="1ED3CAAC" w14:textId="5F309EE6" w:rsidR="005B36D6" w:rsidRPr="0003530F" w:rsidRDefault="005B36D6" w:rsidP="00A30A41">
      <w:pPr>
        <w:pStyle w:val="FootnoteText"/>
        <w:spacing w:before="0"/>
        <w:rPr>
          <w:rFonts w:ascii="Georgia" w:hAnsi="Georgia"/>
          <w:szCs w:val="16"/>
          <w:lang w:val="fr-FR"/>
        </w:rPr>
      </w:pPr>
      <w:r>
        <w:rPr>
          <w:rStyle w:val="FootnoteReference"/>
          <w:rFonts w:ascii="Georgia" w:hAnsi="Georgia"/>
          <w:szCs w:val="16"/>
          <w:lang w:val="fr"/>
        </w:rPr>
        <w:footnoteRef/>
      </w:r>
      <w:r>
        <w:rPr>
          <w:rFonts w:ascii="Georgia" w:hAnsi="Georgia"/>
          <w:szCs w:val="16"/>
          <w:lang w:val="fr"/>
        </w:rPr>
        <w:t xml:space="preserve"> Agents fiduciaires, agents financiers, magasins de fournitures médicales, etc. Sont exclus toutefois les processus gérés par le Fonds mondial comme le mécanisme d’achat groupé/Wambo.</w:t>
      </w:r>
    </w:p>
  </w:footnote>
  <w:footnote w:id="6">
    <w:p w14:paraId="094F38E7" w14:textId="77777777" w:rsidR="00382C10" w:rsidRPr="0003530F" w:rsidRDefault="00382C10" w:rsidP="00A30A41">
      <w:pPr>
        <w:pStyle w:val="FootnoteText"/>
        <w:spacing w:before="0"/>
        <w:rPr>
          <w:rFonts w:ascii="Georgia" w:hAnsi="Georgia"/>
          <w:szCs w:val="16"/>
          <w:lang w:val="fr-FR"/>
        </w:rPr>
      </w:pPr>
      <w:r>
        <w:rPr>
          <w:rStyle w:val="FootnoteReference"/>
          <w:rFonts w:ascii="Georgia" w:hAnsi="Georgia"/>
          <w:szCs w:val="16"/>
          <w:lang w:val="fr"/>
        </w:rPr>
        <w:footnoteRef/>
      </w:r>
      <w:r>
        <w:rPr>
          <w:rFonts w:ascii="Georgia" w:hAnsi="Georgia"/>
          <w:szCs w:val="16"/>
          <w:lang w:val="fr"/>
        </w:rPr>
        <w:t xml:space="preserve"> Lorsque la </w:t>
      </w:r>
      <w:r>
        <w:rPr>
          <w:rFonts w:ascii="Georgia" w:hAnsi="Georgia"/>
          <w:color w:val="000000"/>
          <w:szCs w:val="16"/>
          <w:lang w:val="fr"/>
        </w:rPr>
        <w:t>période auditée chevauche deux périodes d’utilisation d’allocation, les états financiers préparés par le récipiendaire principal doivent distinguer les produits et les dépenses pour chaque période. Ce sera le cas pour les prorogations financées avec les prochaines sommes allouées.</w:t>
      </w:r>
    </w:p>
  </w:footnote>
  <w:footnote w:id="7">
    <w:p w14:paraId="0AE7BC6B" w14:textId="0B9747E3" w:rsidR="00BA3058" w:rsidRPr="0003530F" w:rsidRDefault="00BA3058" w:rsidP="00A30A41">
      <w:pPr>
        <w:pStyle w:val="FootnoteText"/>
        <w:spacing w:before="0"/>
        <w:rPr>
          <w:rFonts w:ascii="Georgia" w:hAnsi="Georgia"/>
          <w:szCs w:val="16"/>
          <w:lang w:val="fr-FR"/>
        </w:rPr>
      </w:pPr>
      <w:r>
        <w:rPr>
          <w:rStyle w:val="FootnoteReference"/>
          <w:rFonts w:ascii="Georgia" w:hAnsi="Georgia"/>
          <w:szCs w:val="16"/>
          <w:lang w:val="fr"/>
        </w:rPr>
        <w:footnoteRef/>
      </w:r>
      <w:r>
        <w:rPr>
          <w:rFonts w:ascii="Georgia" w:hAnsi="Georgia"/>
          <w:szCs w:val="16"/>
          <w:lang w:val="fr"/>
        </w:rPr>
        <w:t xml:space="preserve"> </w:t>
      </w:r>
      <w:r>
        <w:rPr>
          <w:rFonts w:ascii="Georgia" w:hAnsi="Georgia"/>
          <w:lang w:val="fr"/>
        </w:rPr>
        <w:t>Le budget officiel approuvé à employer pour l</w:t>
      </w:r>
      <w:r w:rsidR="007D333B">
        <w:rPr>
          <w:rFonts w:ascii="Georgia" w:hAnsi="Georgia"/>
          <w:lang w:val="fr"/>
        </w:rPr>
        <w:t>e rapportage</w:t>
      </w:r>
      <w:r>
        <w:rPr>
          <w:rFonts w:ascii="Georgia" w:hAnsi="Georgia"/>
          <w:lang w:val="fr"/>
        </w:rPr>
        <w:t xml:space="preserve"> de l’information financière est le budget disponible pour le cycle de </w:t>
      </w:r>
      <w:r w:rsidR="009F0A13">
        <w:rPr>
          <w:rFonts w:ascii="Georgia" w:hAnsi="Georgia"/>
          <w:lang w:val="fr"/>
        </w:rPr>
        <w:t xml:space="preserve">rapportage </w:t>
      </w:r>
      <w:r>
        <w:rPr>
          <w:rFonts w:ascii="Georgia" w:hAnsi="Georgia"/>
          <w:lang w:val="fr"/>
        </w:rPr>
        <w:t>de l’information, à moins qu</w:t>
      </w:r>
      <w:r w:rsidR="00EF1CF2">
        <w:rPr>
          <w:rFonts w:ascii="Georgia" w:hAnsi="Georgia"/>
          <w:lang w:val="fr"/>
        </w:rPr>
        <w:t>’il n’</w:t>
      </w:r>
      <w:r>
        <w:rPr>
          <w:rFonts w:ascii="Georgia" w:hAnsi="Georgia"/>
          <w:lang w:val="fr"/>
        </w:rPr>
        <w:t>ait été modifié par une lettre de mise en œuvre au cours du cycle.</w:t>
      </w:r>
    </w:p>
  </w:footnote>
  <w:footnote w:id="8">
    <w:p w14:paraId="19286758" w14:textId="50A9DA93" w:rsidR="00571FD1" w:rsidRPr="0003530F" w:rsidRDefault="00571FD1" w:rsidP="00A30A41">
      <w:pPr>
        <w:pStyle w:val="FootnoteText"/>
        <w:spacing w:before="0"/>
        <w:rPr>
          <w:rFonts w:ascii="Georgia" w:hAnsi="Georgia"/>
          <w:lang w:val="fr-FR"/>
        </w:rPr>
      </w:pPr>
      <w:r>
        <w:rPr>
          <w:rStyle w:val="FootnoteReference"/>
          <w:rFonts w:ascii="Georgia" w:hAnsi="Georgia"/>
          <w:szCs w:val="16"/>
          <w:lang w:val="fr"/>
        </w:rPr>
        <w:footnoteRef/>
      </w:r>
      <w:r>
        <w:rPr>
          <w:rFonts w:ascii="Georgia" w:hAnsi="Georgia"/>
          <w:szCs w:val="16"/>
          <w:lang w:val="fr"/>
        </w:rPr>
        <w:t xml:space="preserve"> Des notes </w:t>
      </w:r>
      <w:r w:rsidR="007237D9">
        <w:rPr>
          <w:rFonts w:ascii="Georgia" w:hAnsi="Georgia"/>
          <w:szCs w:val="16"/>
          <w:lang w:val="fr"/>
        </w:rPr>
        <w:t>aux états financiers</w:t>
      </w:r>
      <w:r>
        <w:rPr>
          <w:rFonts w:ascii="Georgia" w:hAnsi="Georgia"/>
          <w:szCs w:val="16"/>
          <w:lang w:val="fr"/>
        </w:rPr>
        <w:t xml:space="preserve"> doivent être fournies pour les éléments de la période en cours, pour les ajustements </w:t>
      </w:r>
      <w:r w:rsidR="00BC3041">
        <w:rPr>
          <w:rFonts w:ascii="Georgia" w:hAnsi="Georgia"/>
          <w:szCs w:val="16"/>
          <w:lang w:val="fr"/>
        </w:rPr>
        <w:t>des états financiers</w:t>
      </w:r>
      <w:r>
        <w:rPr>
          <w:rFonts w:ascii="Georgia" w:hAnsi="Georgia"/>
          <w:szCs w:val="16"/>
          <w:lang w:val="fr"/>
        </w:rPr>
        <w:t xml:space="preserve"> de la période précédente et pour les dépassements de coûts </w:t>
      </w:r>
      <w:r>
        <w:rPr>
          <w:rFonts w:ascii="Georgia" w:hAnsi="Georgia"/>
          <w:lang w:val="fr"/>
        </w:rPr>
        <w:t xml:space="preserve">de la période cumulée. </w:t>
      </w:r>
    </w:p>
  </w:footnote>
  <w:footnote w:id="9">
    <w:p w14:paraId="3F46A69F" w14:textId="77777777" w:rsidR="00382C10" w:rsidRPr="0003530F" w:rsidRDefault="00382C10" w:rsidP="00A30A41">
      <w:pPr>
        <w:pStyle w:val="FootnoteText"/>
        <w:spacing w:before="0"/>
        <w:rPr>
          <w:rFonts w:ascii="Georgia" w:hAnsi="Georgia"/>
          <w:lang w:val="fr-FR"/>
        </w:rPr>
      </w:pPr>
      <w:r>
        <w:rPr>
          <w:rFonts w:ascii="Georgia" w:hAnsi="Georgia"/>
          <w:lang w:val="fr"/>
        </w:rPr>
        <w:footnoteRef/>
      </w:r>
      <w:r>
        <w:rPr>
          <w:rFonts w:ascii="Georgia" w:hAnsi="Georgia"/>
          <w:lang w:val="fr"/>
        </w:rPr>
        <w:t xml:space="preserve"> Avances de personnel (avec analyse de l’âge si possible) ; dépôts remboursables ; tout solde non rapproché ; liste d’engagements, etc. Voir les annexes 1 et 2.</w:t>
      </w:r>
    </w:p>
  </w:footnote>
  <w:footnote w:id="10">
    <w:p w14:paraId="1472FE27" w14:textId="77777777" w:rsidR="00382C10" w:rsidRPr="0003530F" w:rsidRDefault="00382C10" w:rsidP="00A30A41">
      <w:pPr>
        <w:pStyle w:val="FootnoteText"/>
        <w:spacing w:before="0"/>
        <w:rPr>
          <w:rFonts w:ascii="Georgia" w:hAnsi="Georgia"/>
          <w:szCs w:val="16"/>
          <w:lang w:val="fr-FR"/>
        </w:rPr>
      </w:pPr>
      <w:r>
        <w:rPr>
          <w:rFonts w:ascii="Georgia" w:hAnsi="Georgia"/>
          <w:lang w:val="fr"/>
        </w:rPr>
        <w:footnoteRef/>
      </w:r>
      <w:r>
        <w:rPr>
          <w:rFonts w:ascii="Georgia" w:hAnsi="Georgia"/>
          <w:lang w:val="fr"/>
        </w:rPr>
        <w:t xml:space="preserve"> Le récipiendaire principal doit tenir un registre des immobilisations, qui pourrait être nécessaire lorsque l’équipe de pays et les différents fournisseurs de services d’assurance en ont besoin.</w:t>
      </w:r>
    </w:p>
  </w:footnote>
  <w:footnote w:id="11">
    <w:p w14:paraId="1A8CD039" w14:textId="4D63A602" w:rsidR="00382C10" w:rsidRPr="0003530F" w:rsidRDefault="00382C10" w:rsidP="00884E7D">
      <w:pPr>
        <w:pStyle w:val="FootnoteText"/>
        <w:spacing w:before="0"/>
        <w:rPr>
          <w:lang w:val="fr-FR"/>
        </w:rPr>
      </w:pPr>
      <w:r>
        <w:rPr>
          <w:rStyle w:val="FootnoteReference"/>
          <w:rFonts w:ascii="Georgia" w:hAnsi="Georgia"/>
          <w:szCs w:val="16"/>
          <w:lang w:val="fr"/>
        </w:rPr>
        <w:footnoteRef/>
      </w:r>
      <w:r>
        <w:rPr>
          <w:rFonts w:ascii="Georgia" w:hAnsi="Georgia"/>
          <w:szCs w:val="16"/>
          <w:lang w:val="fr"/>
        </w:rPr>
        <w:t xml:space="preserve"> Voir les informations fiscales du récipiendaire principal visées dans les </w:t>
      </w:r>
      <w:hyperlink r:id="rId1" w:history="1">
        <w:r>
          <w:rPr>
            <w:rStyle w:val="Hyperlink"/>
            <w:rFonts w:ascii="Georgia" w:eastAsia="MS Gothic" w:hAnsi="Georgia"/>
            <w:szCs w:val="16"/>
            <w:lang w:val="fr"/>
          </w:rPr>
          <w:t>directives concernant le RA/DD</w:t>
        </w:r>
      </w:hyperlink>
      <w:r>
        <w:rPr>
          <w:rFonts w:ascii="Georgia" w:hAnsi="Georgia"/>
          <w:szCs w:val="16"/>
          <w:lang w:val="fr"/>
        </w:rPr>
        <w:t xml:space="preserve"> pour en savoir plus.</w:t>
      </w:r>
    </w:p>
  </w:footnote>
  <w:footnote w:id="12">
    <w:p w14:paraId="24FD55A7" w14:textId="4CAB2C63" w:rsidR="00FB664D" w:rsidRPr="0003530F" w:rsidRDefault="00FB664D">
      <w:pPr>
        <w:pStyle w:val="FootnoteText"/>
        <w:rPr>
          <w:rFonts w:ascii="Georgia" w:hAnsi="Georgia"/>
          <w:lang w:val="fr-FR"/>
        </w:rPr>
      </w:pPr>
      <w:r>
        <w:rPr>
          <w:rStyle w:val="FootnoteReference"/>
          <w:lang w:val="fr"/>
        </w:rPr>
        <w:footnoteRef/>
      </w:r>
      <w:r>
        <w:rPr>
          <w:lang w:val="fr"/>
        </w:rPr>
        <w:t xml:space="preserve"> </w:t>
      </w:r>
      <w:r>
        <w:rPr>
          <w:rFonts w:ascii="Georgia" w:hAnsi="Georgia"/>
          <w:lang w:val="fr"/>
        </w:rPr>
        <w:t>Lettres de mise en œuvre, convention de sous-récipiendaire et autres ententes juridiques en lien avec la mise en œuvre de la subvention.</w:t>
      </w:r>
    </w:p>
  </w:footnote>
  <w:footnote w:id="13">
    <w:p w14:paraId="190D1C81" w14:textId="77777777" w:rsidR="00382C10" w:rsidRPr="0003530F" w:rsidRDefault="00382C10" w:rsidP="00382C10">
      <w:pPr>
        <w:pStyle w:val="FootnoteText"/>
        <w:jc w:val="both"/>
        <w:rPr>
          <w:rFonts w:ascii="Georgia" w:hAnsi="Georgia"/>
          <w:szCs w:val="16"/>
          <w:lang w:val="fr-FR"/>
        </w:rPr>
      </w:pPr>
      <w:r>
        <w:rPr>
          <w:rStyle w:val="FootnoteReference"/>
          <w:rFonts w:ascii="Georgia" w:hAnsi="Georgia"/>
          <w:szCs w:val="16"/>
          <w:lang w:val="fr"/>
        </w:rPr>
        <w:footnoteRef/>
      </w:r>
      <w:r>
        <w:rPr>
          <w:rFonts w:ascii="Georgia" w:hAnsi="Georgia"/>
          <w:szCs w:val="16"/>
          <w:lang w:val="fr"/>
        </w:rPr>
        <w:t>Intérêts générés, revenus, gains d’échange, recouvrements de TVA, recouvrement de fonds de dépenses irrecevables ou autre concept comptable, etc.</w:t>
      </w:r>
    </w:p>
  </w:footnote>
  <w:footnote w:id="14">
    <w:p w14:paraId="7B90BC1D" w14:textId="77777777" w:rsidR="00BD60A8" w:rsidRPr="0003530F" w:rsidRDefault="00BD60A8" w:rsidP="00BD60A8">
      <w:pPr>
        <w:pStyle w:val="FootnoteText"/>
        <w:jc w:val="both"/>
        <w:rPr>
          <w:rFonts w:ascii="Georgia" w:hAnsi="Georgia"/>
          <w:szCs w:val="16"/>
          <w:lang w:val="fr-FR"/>
        </w:rPr>
      </w:pPr>
      <w:r>
        <w:rPr>
          <w:rStyle w:val="FootnoteReference"/>
          <w:lang w:val="fr"/>
        </w:rPr>
        <w:footnoteRef/>
      </w:r>
      <w:r>
        <w:rPr>
          <w:rFonts w:ascii="Georgia" w:hAnsi="Georgia"/>
          <w:szCs w:val="16"/>
          <w:lang w:val="fr"/>
        </w:rPr>
        <w:t xml:space="preserve"> Agents fiduciaires, agents financiers, magasins de fournitures médicales, etc. Sont exclus toutefois les processus gérés par le Fonds mondial, comme le mécanisme d’achat groupé/Wambo. </w:t>
      </w:r>
    </w:p>
  </w:footnote>
  <w:footnote w:id="15">
    <w:p w14:paraId="29885546" w14:textId="77777777" w:rsidR="00382C10" w:rsidRPr="0003530F" w:rsidRDefault="00382C10" w:rsidP="00382C10">
      <w:pPr>
        <w:pStyle w:val="FootnoteText"/>
        <w:rPr>
          <w:lang w:val="fr-FR"/>
        </w:rPr>
      </w:pPr>
      <w:r>
        <w:rPr>
          <w:rStyle w:val="FootnoteReference"/>
          <w:lang w:val="fr"/>
        </w:rPr>
        <w:footnoteRef/>
      </w:r>
      <w:r>
        <w:rPr>
          <w:lang w:val="fr"/>
        </w:rPr>
        <w:t xml:space="preserve"> Le spécialiste financier du Fonds mondial peut communiquer directement avec l’auditeur dans les cas où l’indépendance ou le caractère aléatoire des audits peuvent être compromis par un partage du plan d’audit détaillé avec le récipiendaire principal.</w:t>
      </w:r>
    </w:p>
  </w:footnote>
  <w:footnote w:id="16">
    <w:p w14:paraId="16338D28" w14:textId="77777777" w:rsidR="00382C10" w:rsidRPr="0003530F" w:rsidRDefault="00382C10" w:rsidP="00382C10">
      <w:pPr>
        <w:pStyle w:val="FootnoteText"/>
        <w:rPr>
          <w:szCs w:val="16"/>
          <w:lang w:val="fr-FR"/>
        </w:rPr>
      </w:pPr>
      <w:r>
        <w:rPr>
          <w:rStyle w:val="FootnoteReference"/>
          <w:szCs w:val="16"/>
          <w:lang w:val="fr"/>
        </w:rPr>
        <w:footnoteRef/>
      </w:r>
      <w:r>
        <w:rPr>
          <w:szCs w:val="16"/>
          <w:lang w:val="fr"/>
        </w:rPr>
        <w:t xml:space="preserve"> </w:t>
      </w:r>
      <w:r>
        <w:rPr>
          <w:rFonts w:ascii="Georgia" w:hAnsi="Georgia"/>
          <w:color w:val="323439"/>
          <w:szCs w:val="16"/>
          <w:lang w:val="fr"/>
        </w:rPr>
        <w:t>Pour la conception et la réalisation des tests des contrôles, consulter : https://www.coursehero.com/file/p13iulp/When-designing-and-performing-tests-of-c</w:t>
      </w:r>
    </w:p>
  </w:footnote>
  <w:footnote w:id="17">
    <w:p w14:paraId="52BAF6B2" w14:textId="77777777" w:rsidR="00382C10" w:rsidRPr="0003530F" w:rsidRDefault="00382C10" w:rsidP="00382C10">
      <w:pPr>
        <w:pStyle w:val="FootnoteText"/>
        <w:rPr>
          <w:lang w:val="fr-FR"/>
        </w:rPr>
      </w:pPr>
      <w:r>
        <w:rPr>
          <w:rStyle w:val="FootnoteReference"/>
          <w:lang w:val="fr"/>
        </w:rPr>
        <w:footnoteRef/>
      </w:r>
      <w:r>
        <w:rPr>
          <w:lang w:val="fr"/>
        </w:rPr>
        <w:t xml:space="preserve"> </w:t>
      </w:r>
      <w:r>
        <w:rPr>
          <w:rFonts w:ascii="Georgia" w:hAnsi="Georgia"/>
          <w:szCs w:val="16"/>
          <w:lang w:val="fr"/>
        </w:rPr>
        <w:t>Toutes les lacunes relatives à la gestion du programme, à la gestion des stocks, à la gestion financière, etc., non décrites dans les quatre autres sections de la lettre de recommandation.</w:t>
      </w:r>
    </w:p>
  </w:footnote>
  <w:footnote w:id="18">
    <w:p w14:paraId="6996E939" w14:textId="363881A6" w:rsidR="00382C10" w:rsidRPr="0003530F" w:rsidRDefault="00382C10" w:rsidP="00382C10">
      <w:pPr>
        <w:pStyle w:val="FootnoteText"/>
        <w:rPr>
          <w:lang w:val="fr-FR"/>
        </w:rPr>
      </w:pPr>
      <w:r>
        <w:rPr>
          <w:rStyle w:val="FootnoteReference"/>
          <w:lang w:val="fr"/>
        </w:rPr>
        <w:footnoteRef/>
      </w:r>
      <w:r>
        <w:rPr>
          <w:lang w:val="fr"/>
        </w:rPr>
        <w:t xml:space="preserve"> </w:t>
      </w:r>
      <w:hyperlink r:id="rId2" w:history="1">
        <w:r>
          <w:rPr>
            <w:rStyle w:val="Hyperlink"/>
            <w:rFonts w:ascii="Georgia" w:hAnsi="Georgia"/>
            <w:sz w:val="18"/>
            <w:u w:val="none"/>
            <w:lang w:val="fr"/>
          </w:rPr>
          <w:t>https://www.theglobalfund.org/media/7539/financial_financialriskmanagement_guidelines_fr.pdf?u=637166000350000000</w:t>
        </w:r>
      </w:hyperlink>
      <w:r>
        <w:rPr>
          <w:rFonts w:ascii="Georgia" w:hAnsi="Georgia"/>
          <w:sz w:val="18"/>
          <w:lang w:val="fr"/>
        </w:rPr>
        <w:t xml:space="preserve"> </w:t>
      </w:r>
    </w:p>
  </w:footnote>
  <w:footnote w:id="19">
    <w:p w14:paraId="71530AFE" w14:textId="77777777" w:rsidR="00B70820" w:rsidRPr="0003530F" w:rsidRDefault="00B70820" w:rsidP="00B70820">
      <w:pPr>
        <w:pStyle w:val="FootnoteText"/>
        <w:rPr>
          <w:lang w:val="fr-FR"/>
        </w:rPr>
      </w:pPr>
      <w:r>
        <w:rPr>
          <w:rStyle w:val="FootnoteReference"/>
          <w:rFonts w:ascii="Georgia" w:hAnsi="Georgia"/>
          <w:szCs w:val="16"/>
          <w:lang w:val="fr"/>
        </w:rPr>
        <w:footnoteRef/>
      </w:r>
      <w:r>
        <w:rPr>
          <w:rFonts w:ascii="Georgia" w:hAnsi="Georgia"/>
          <w:szCs w:val="16"/>
          <w:lang w:val="fr"/>
        </w:rPr>
        <w:t xml:space="preserve"> Cette responsabilité incombe à l’auditeur et doit être mentionnée dans le contrat entre le récipiendaire principal et l’auditeur.</w:t>
      </w:r>
    </w:p>
  </w:footnote>
  <w:footnote w:id="20">
    <w:p w14:paraId="19D9AA03" w14:textId="77777777" w:rsidR="00B70820" w:rsidRPr="0003530F" w:rsidRDefault="00B70820" w:rsidP="00B70820">
      <w:pPr>
        <w:pStyle w:val="FootnoteText"/>
        <w:rPr>
          <w:rFonts w:ascii="Georgia" w:hAnsi="Georgia"/>
          <w:szCs w:val="16"/>
          <w:lang w:val="fr-FR"/>
        </w:rPr>
      </w:pPr>
      <w:r>
        <w:rPr>
          <w:rStyle w:val="FootnoteReference"/>
          <w:lang w:val="fr"/>
        </w:rPr>
        <w:footnoteRef/>
      </w:r>
      <w:r>
        <w:rPr>
          <w:rFonts w:ascii="Georgia" w:hAnsi="Georgia"/>
          <w:szCs w:val="16"/>
          <w:lang w:val="fr"/>
        </w:rPr>
        <w:t xml:space="preserve"> Lorsque le récipiendaire principal choisit directement le cabinet d’audit et qu’il existe donc une relation contractuelle directe entre le cabinet d’audit et le récipiendaire principal, le contrat doit spécifiquement mentionner que l’auditeur envoie directement une copie électronique du rapport d’audit final au Fonds mondial.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1F5" w14:textId="77777777" w:rsidR="007C7F1E" w:rsidRDefault="007C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EF8" w14:textId="75DB888B" w:rsidR="00813D40" w:rsidRPr="00235CA2" w:rsidRDefault="007C7F1E" w:rsidP="00D642CC">
    <w:pPr>
      <w:pStyle w:val="HeaderHidden"/>
    </w:pPr>
    <w:r>
      <w:rPr>
        <w:noProof/>
      </w:rPr>
      <w:drawing>
        <wp:inline distT="0" distB="0" distL="0" distR="0" wp14:anchorId="33648F6E" wp14:editId="33DF4C8C">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BF225B">
      <w:rPr>
        <w:noProof/>
        <w:lang w:val="fr"/>
      </w:rPr>
      <mc:AlternateContent>
        <mc:Choice Requires="wps">
          <w:drawing>
            <wp:anchor distT="0" distB="0" distL="114300" distR="114300" simplePos="0" relativeHeight="251658240" behindDoc="1" locked="0" layoutInCell="1" allowOverlap="1" wp14:anchorId="454DDF58" wp14:editId="37D4921C">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0999"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BF225B">
      <w:rPr>
        <w:lang w:val="fr"/>
      </w:rPr>
      <w:t xml:space="preserve">   </w:t>
    </w:r>
    <w:sdt>
      <w:sdtPr>
        <w:alias w:val="Form.ReportCountry"/>
        <w:tag w:val="{&quot;templafy&quot;:{&quot;id&quot;:&quot;154e721f-2830-4e3a-8cba-2846ae88e9e4&quot;}}"/>
        <w:id w:val="794109981"/>
      </w:sdtPr>
      <w:sdtEndPr/>
      <w:sdtContent>
        <w:r w:rsidR="00BF225B">
          <w:rPr>
            <w:lang w:val="fr"/>
          </w:rPr>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EE6" w14:textId="77777777" w:rsidR="007C7F1E" w:rsidRDefault="007C7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BF9" w14:textId="77777777" w:rsidR="005225E4" w:rsidRDefault="00522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55A" w14:textId="77777777" w:rsidR="005225E4" w:rsidRDefault="005225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CDB" w14:textId="77777777" w:rsidR="005225E4" w:rsidRDefault="00522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C9D7" w14:textId="77777777" w:rsidR="00C86D6F" w:rsidRDefault="00C86D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05B3" w14:textId="77777777" w:rsidR="00C86D6F" w:rsidRDefault="00C8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602C0"/>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35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D996121"/>
    <w:multiLevelType w:val="hybridMultilevel"/>
    <w:tmpl w:val="BAD29AEE"/>
    <w:lvl w:ilvl="0" w:tplc="FFFFFFFF">
      <w:start w:val="1"/>
      <w:numFmt w:val="lowerRoman"/>
      <w:lvlText w:val="%1."/>
      <w:lvlJc w:val="right"/>
      <w:pPr>
        <w:ind w:left="189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DE9629D"/>
    <w:multiLevelType w:val="hybridMultilevel"/>
    <w:tmpl w:val="E46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3D5E2B"/>
    <w:multiLevelType w:val="multilevel"/>
    <w:tmpl w:val="C146372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0F9C16F5"/>
    <w:multiLevelType w:val="multilevel"/>
    <w:tmpl w:val="0D1E9926"/>
    <w:lvl w:ilvl="0">
      <w:start w:val="1"/>
      <w:numFmt w:val="decimal"/>
      <w:lvlText w:val="%1."/>
      <w:lvlJc w:val="left"/>
      <w:pPr>
        <w:ind w:left="360" w:hanging="360"/>
      </w:pPr>
      <w:rPr>
        <w:rFonts w:hint="default"/>
        <w:b w:val="0"/>
        <w:i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127A0B5F"/>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9032E81"/>
    <w:multiLevelType w:val="multilevel"/>
    <w:tmpl w:val="967C9A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C779E8"/>
    <w:multiLevelType w:val="hybridMultilevel"/>
    <w:tmpl w:val="2EF4A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A55F0E"/>
    <w:multiLevelType w:val="hybridMultilevel"/>
    <w:tmpl w:val="CB0E7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81A3767"/>
    <w:multiLevelType w:val="multilevel"/>
    <w:tmpl w:val="49EA250A"/>
    <w:lvl w:ilvl="0">
      <w:start w:val="1"/>
      <w:numFmt w:val="bullet"/>
      <w:lvlText w:val=""/>
      <w:lvlJc w:val="left"/>
      <w:pPr>
        <w:ind w:left="720" w:hanging="360"/>
      </w:pPr>
      <w:rPr>
        <w:rFonts w:ascii="Symbol" w:hAnsi="Symbol" w:hint="default"/>
        <w:b w:val="0"/>
      </w:rPr>
    </w:lvl>
    <w:lvl w:ilvl="1">
      <w:start w:val="1"/>
      <w:numFmt w:val="bullet"/>
      <w:lvlText w:val=""/>
      <w:lvlJc w:val="left"/>
      <w:pPr>
        <w:ind w:left="1004" w:hanging="360"/>
      </w:pPr>
      <w:rPr>
        <w:rFonts w:ascii="Symbol" w:hAnsi="Symbol"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2A9F5D0B"/>
    <w:multiLevelType w:val="hybridMultilevel"/>
    <w:tmpl w:val="7A9ADE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0"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2C12F05"/>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46F1001"/>
    <w:multiLevelType w:val="hybridMultilevel"/>
    <w:tmpl w:val="84BA3C72"/>
    <w:lvl w:ilvl="0" w:tplc="32649716">
      <w:start w:val="1"/>
      <w:numFmt w:val="decimal"/>
      <w:lvlText w:val="(%1)"/>
      <w:lvlJc w:val="left"/>
      <w:pPr>
        <w:ind w:left="1800" w:hanging="360"/>
      </w:pPr>
      <w:rPr>
        <w:rFonts w:ascii="Arial" w:eastAsiaTheme="minorHAnsi" w:hAnsi="Arial"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40" w15:restartNumberingAfterBreak="0">
    <w:nsid w:val="4A3F15B7"/>
    <w:multiLevelType w:val="hybridMultilevel"/>
    <w:tmpl w:val="4A1214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ECF31C0"/>
    <w:multiLevelType w:val="multilevel"/>
    <w:tmpl w:val="17A0D06E"/>
    <w:numStyleLink w:val="NumbListAlpha"/>
  </w:abstractNum>
  <w:abstractNum w:abstractNumId="43" w15:restartNumberingAfterBreak="0">
    <w:nsid w:val="572C6AE6"/>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5858017D"/>
    <w:multiLevelType w:val="hybridMultilevel"/>
    <w:tmpl w:val="84F646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893ECA"/>
    <w:multiLevelType w:val="hybridMultilevel"/>
    <w:tmpl w:val="236A043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65693F12"/>
    <w:multiLevelType w:val="multilevel"/>
    <w:tmpl w:val="0809001F"/>
    <w:numStyleLink w:val="111111"/>
  </w:abstractNum>
  <w:abstractNum w:abstractNumId="50" w15:restartNumberingAfterBreak="0">
    <w:nsid w:val="661B722E"/>
    <w:multiLevelType w:val="hybridMultilevel"/>
    <w:tmpl w:val="63AE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A052D2"/>
    <w:multiLevelType w:val="hybridMultilevel"/>
    <w:tmpl w:val="110C78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E115EB"/>
    <w:multiLevelType w:val="hybridMultilevel"/>
    <w:tmpl w:val="39200D0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7851D95"/>
    <w:multiLevelType w:val="hybridMultilevel"/>
    <w:tmpl w:val="3CA0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6" w15:restartNumberingAfterBreak="0">
    <w:nsid w:val="7AC77467"/>
    <w:multiLevelType w:val="hybridMultilevel"/>
    <w:tmpl w:val="89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C46FBF"/>
    <w:multiLevelType w:val="multilevel"/>
    <w:tmpl w:val="A7760DB6"/>
    <w:lvl w:ilvl="0">
      <w:start w:val="6"/>
      <w:numFmt w:val="decimal"/>
      <w:lvlText w:val="%1."/>
      <w:lvlJc w:val="left"/>
      <w:pPr>
        <w:ind w:left="525" w:hanging="525"/>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8"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7E526880"/>
    <w:multiLevelType w:val="multilevel"/>
    <w:tmpl w:val="688ADA5A"/>
    <w:lvl w:ilvl="0">
      <w:start w:val="1"/>
      <w:numFmt w:val="decimal"/>
      <w:lvlText w:val="%1."/>
      <w:lvlJc w:val="left"/>
      <w:pPr>
        <w:ind w:left="360" w:hanging="360"/>
      </w:pPr>
      <w:rPr>
        <w:rFonts w:hint="default"/>
        <w:b w:val="0"/>
        <w:color w:val="auto"/>
      </w:rPr>
    </w:lvl>
    <w:lvl w:ilvl="1">
      <w:start w:val="1"/>
      <w:numFmt w:val="bullet"/>
      <w:lvlText w:val=""/>
      <w:lvlJc w:val="left"/>
      <w:pPr>
        <w:ind w:left="644" w:hanging="360"/>
      </w:pPr>
      <w:rPr>
        <w:rFonts w:ascii="Symbol" w:hAnsi="Symbol"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39"/>
  </w:num>
  <w:num w:numId="13">
    <w:abstractNumId w:val="29"/>
  </w:num>
  <w:num w:numId="14">
    <w:abstractNumId w:val="42"/>
  </w:num>
  <w:num w:numId="15">
    <w:abstractNumId w:val="32"/>
  </w:num>
  <w:num w:numId="16">
    <w:abstractNumId w:val="47"/>
  </w:num>
  <w:num w:numId="17">
    <w:abstractNumId w:val="22"/>
  </w:num>
  <w:num w:numId="18">
    <w:abstractNumId w:val="45"/>
  </w:num>
  <w:num w:numId="19">
    <w:abstractNumId w:val="54"/>
  </w:num>
  <w:num w:numId="20">
    <w:abstractNumId w:val="11"/>
  </w:num>
  <w:num w:numId="21">
    <w:abstractNumId w:val="46"/>
  </w:num>
  <w:num w:numId="22">
    <w:abstractNumId w:val="15"/>
  </w:num>
  <w:num w:numId="23">
    <w:abstractNumId w:val="27"/>
  </w:num>
  <w:num w:numId="24">
    <w:abstractNumId w:val="31"/>
  </w:num>
  <w:num w:numId="25">
    <w:abstractNumId w:val="56"/>
  </w:num>
  <w:num w:numId="26">
    <w:abstractNumId w:val="23"/>
  </w:num>
  <w:num w:numId="27">
    <w:abstractNumId w:val="20"/>
  </w:num>
  <w:num w:numId="28">
    <w:abstractNumId w:val="37"/>
  </w:num>
  <w:num w:numId="29">
    <w:abstractNumId w:val="49"/>
  </w:num>
  <w:num w:numId="30">
    <w:abstractNumId w:val="34"/>
  </w:num>
  <w:num w:numId="31">
    <w:abstractNumId w:val="41"/>
  </w:num>
  <w:num w:numId="32">
    <w:abstractNumId w:val="25"/>
  </w:num>
  <w:num w:numId="33">
    <w:abstractNumId w:val="14"/>
  </w:num>
  <w:num w:numId="34">
    <w:abstractNumId w:val="50"/>
  </w:num>
  <w:num w:numId="35">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num>
  <w:num w:numId="37">
    <w:abstractNumId w:val="30"/>
  </w:num>
  <w:num w:numId="38">
    <w:abstractNumId w:val="59"/>
  </w:num>
  <w:num w:numId="39">
    <w:abstractNumId w:val="58"/>
  </w:num>
  <w:num w:numId="40">
    <w:abstractNumId w:val="12"/>
  </w:num>
  <w:num w:numId="41">
    <w:abstractNumId w:val="55"/>
  </w:num>
  <w:num w:numId="42">
    <w:abstractNumId w:val="19"/>
  </w:num>
  <w:num w:numId="43">
    <w:abstractNumId w:val="16"/>
  </w:num>
  <w:num w:numId="44">
    <w:abstractNumId w:val="24"/>
  </w:num>
  <w:num w:numId="45">
    <w:abstractNumId w:val="35"/>
  </w:num>
  <w:num w:numId="46">
    <w:abstractNumId w:val="57"/>
  </w:num>
  <w:num w:numId="47">
    <w:abstractNumId w:val="51"/>
  </w:num>
  <w:num w:numId="48">
    <w:abstractNumId w:val="40"/>
  </w:num>
  <w:num w:numId="49">
    <w:abstractNumId w:val="38"/>
  </w:num>
  <w:num w:numId="50">
    <w:abstractNumId w:val="17"/>
  </w:num>
  <w:num w:numId="51">
    <w:abstractNumId w:val="43"/>
  </w:num>
  <w:num w:numId="52">
    <w:abstractNumId w:val="21"/>
  </w:num>
  <w:num w:numId="53">
    <w:abstractNumId w:val="28"/>
  </w:num>
  <w:num w:numId="54">
    <w:abstractNumId w:val="0"/>
  </w:num>
  <w:num w:numId="55">
    <w:abstractNumId w:val="36"/>
  </w:num>
  <w:num w:numId="56">
    <w:abstractNumId w:val="18"/>
  </w:num>
  <w:num w:numId="57">
    <w:abstractNumId w:val="53"/>
  </w:num>
  <w:num w:numId="58">
    <w:abstractNumId w:val="52"/>
  </w:num>
  <w:num w:numId="59">
    <w:abstractNumId w:val="48"/>
  </w:num>
  <w:num w:numId="60">
    <w:abstractNumId w:val="44"/>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52F2"/>
    <w:rsid w:val="000067AC"/>
    <w:rsid w:val="00010133"/>
    <w:rsid w:val="00012F13"/>
    <w:rsid w:val="00017D80"/>
    <w:rsid w:val="00017F52"/>
    <w:rsid w:val="0002192E"/>
    <w:rsid w:val="000226A7"/>
    <w:rsid w:val="00024539"/>
    <w:rsid w:val="00024DFE"/>
    <w:rsid w:val="0002551E"/>
    <w:rsid w:val="000267A8"/>
    <w:rsid w:val="00026B43"/>
    <w:rsid w:val="00027D89"/>
    <w:rsid w:val="00030686"/>
    <w:rsid w:val="000316DE"/>
    <w:rsid w:val="00031C81"/>
    <w:rsid w:val="00032078"/>
    <w:rsid w:val="00034984"/>
    <w:rsid w:val="00034E28"/>
    <w:rsid w:val="0003530F"/>
    <w:rsid w:val="00036120"/>
    <w:rsid w:val="00036344"/>
    <w:rsid w:val="00037CFC"/>
    <w:rsid w:val="00043D3C"/>
    <w:rsid w:val="0004461B"/>
    <w:rsid w:val="00047C4F"/>
    <w:rsid w:val="00053545"/>
    <w:rsid w:val="00054E5F"/>
    <w:rsid w:val="00056E88"/>
    <w:rsid w:val="00057049"/>
    <w:rsid w:val="00057F5E"/>
    <w:rsid w:val="000602BB"/>
    <w:rsid w:val="000620B0"/>
    <w:rsid w:val="0007788A"/>
    <w:rsid w:val="000856BC"/>
    <w:rsid w:val="00094905"/>
    <w:rsid w:val="00095F63"/>
    <w:rsid w:val="000A4685"/>
    <w:rsid w:val="000C377B"/>
    <w:rsid w:val="000C497C"/>
    <w:rsid w:val="000C647F"/>
    <w:rsid w:val="000D31C7"/>
    <w:rsid w:val="000D44C6"/>
    <w:rsid w:val="000D6E6C"/>
    <w:rsid w:val="000E28F1"/>
    <w:rsid w:val="000E3E09"/>
    <w:rsid w:val="000E4501"/>
    <w:rsid w:val="000E4978"/>
    <w:rsid w:val="000E7B75"/>
    <w:rsid w:val="000F0155"/>
    <w:rsid w:val="000F0BA3"/>
    <w:rsid w:val="000F2926"/>
    <w:rsid w:val="000F5BD5"/>
    <w:rsid w:val="000F624E"/>
    <w:rsid w:val="0010420E"/>
    <w:rsid w:val="0010483A"/>
    <w:rsid w:val="001058DC"/>
    <w:rsid w:val="00107CFE"/>
    <w:rsid w:val="00110820"/>
    <w:rsid w:val="00111A91"/>
    <w:rsid w:val="00112594"/>
    <w:rsid w:val="00112A88"/>
    <w:rsid w:val="00124591"/>
    <w:rsid w:val="00124E80"/>
    <w:rsid w:val="0012655F"/>
    <w:rsid w:val="0012769E"/>
    <w:rsid w:val="00132F2F"/>
    <w:rsid w:val="00133325"/>
    <w:rsid w:val="001368F0"/>
    <w:rsid w:val="0013691B"/>
    <w:rsid w:val="00151D19"/>
    <w:rsid w:val="001540E2"/>
    <w:rsid w:val="00156CDE"/>
    <w:rsid w:val="00160BC4"/>
    <w:rsid w:val="00166783"/>
    <w:rsid w:val="00171C99"/>
    <w:rsid w:val="0017514D"/>
    <w:rsid w:val="0017701E"/>
    <w:rsid w:val="00180D66"/>
    <w:rsid w:val="001867E1"/>
    <w:rsid w:val="00192384"/>
    <w:rsid w:val="00197AE7"/>
    <w:rsid w:val="001A1AEC"/>
    <w:rsid w:val="001A6B7A"/>
    <w:rsid w:val="001B3DFB"/>
    <w:rsid w:val="001B5CE7"/>
    <w:rsid w:val="001C0304"/>
    <w:rsid w:val="001C036E"/>
    <w:rsid w:val="001C2D41"/>
    <w:rsid w:val="001C3DD1"/>
    <w:rsid w:val="001C5BE2"/>
    <w:rsid w:val="001D03A5"/>
    <w:rsid w:val="001D0512"/>
    <w:rsid w:val="001D2F69"/>
    <w:rsid w:val="001D6E4E"/>
    <w:rsid w:val="001E61DF"/>
    <w:rsid w:val="001E6466"/>
    <w:rsid w:val="001F16CF"/>
    <w:rsid w:val="001F2280"/>
    <w:rsid w:val="001F40C5"/>
    <w:rsid w:val="001F6EC5"/>
    <w:rsid w:val="002108BB"/>
    <w:rsid w:val="00211667"/>
    <w:rsid w:val="0021210A"/>
    <w:rsid w:val="00221562"/>
    <w:rsid w:val="00235CA2"/>
    <w:rsid w:val="00236822"/>
    <w:rsid w:val="0024020E"/>
    <w:rsid w:val="00242CC6"/>
    <w:rsid w:val="0025351E"/>
    <w:rsid w:val="00254D2F"/>
    <w:rsid w:val="00255BBC"/>
    <w:rsid w:val="00263DAA"/>
    <w:rsid w:val="00265599"/>
    <w:rsid w:val="00266AEC"/>
    <w:rsid w:val="002715D4"/>
    <w:rsid w:val="0027163F"/>
    <w:rsid w:val="00276608"/>
    <w:rsid w:val="0028039D"/>
    <w:rsid w:val="00280C82"/>
    <w:rsid w:val="002812B3"/>
    <w:rsid w:val="00281CBC"/>
    <w:rsid w:val="00284808"/>
    <w:rsid w:val="0029088E"/>
    <w:rsid w:val="002938CB"/>
    <w:rsid w:val="002944FC"/>
    <w:rsid w:val="0029796C"/>
    <w:rsid w:val="002A4684"/>
    <w:rsid w:val="002A470A"/>
    <w:rsid w:val="002A4EDE"/>
    <w:rsid w:val="002A5B89"/>
    <w:rsid w:val="002A5F87"/>
    <w:rsid w:val="002A72DB"/>
    <w:rsid w:val="002A7635"/>
    <w:rsid w:val="002B07E9"/>
    <w:rsid w:val="002B0D03"/>
    <w:rsid w:val="002B0F35"/>
    <w:rsid w:val="002C0359"/>
    <w:rsid w:val="002C35FE"/>
    <w:rsid w:val="002C3CEB"/>
    <w:rsid w:val="002C4720"/>
    <w:rsid w:val="002C6BE6"/>
    <w:rsid w:val="002D090E"/>
    <w:rsid w:val="002D6078"/>
    <w:rsid w:val="002E1A92"/>
    <w:rsid w:val="002E49C8"/>
    <w:rsid w:val="002E5CD0"/>
    <w:rsid w:val="002F128A"/>
    <w:rsid w:val="002F2F7C"/>
    <w:rsid w:val="00300240"/>
    <w:rsid w:val="00304D3B"/>
    <w:rsid w:val="0030550D"/>
    <w:rsid w:val="00311525"/>
    <w:rsid w:val="00314800"/>
    <w:rsid w:val="00317149"/>
    <w:rsid w:val="00320D74"/>
    <w:rsid w:val="00322DF0"/>
    <w:rsid w:val="003309BE"/>
    <w:rsid w:val="00331A02"/>
    <w:rsid w:val="00340CE6"/>
    <w:rsid w:val="0034309F"/>
    <w:rsid w:val="00345067"/>
    <w:rsid w:val="00350E08"/>
    <w:rsid w:val="00352FF8"/>
    <w:rsid w:val="00353DF3"/>
    <w:rsid w:val="0035565B"/>
    <w:rsid w:val="00360006"/>
    <w:rsid w:val="00360A8E"/>
    <w:rsid w:val="00361033"/>
    <w:rsid w:val="00364326"/>
    <w:rsid w:val="00371BCC"/>
    <w:rsid w:val="00372598"/>
    <w:rsid w:val="00372605"/>
    <w:rsid w:val="00373BC7"/>
    <w:rsid w:val="00376D16"/>
    <w:rsid w:val="00380FEC"/>
    <w:rsid w:val="00381A40"/>
    <w:rsid w:val="00382C10"/>
    <w:rsid w:val="0038486D"/>
    <w:rsid w:val="003860A7"/>
    <w:rsid w:val="00395287"/>
    <w:rsid w:val="00395D11"/>
    <w:rsid w:val="003A0F8A"/>
    <w:rsid w:val="003A1482"/>
    <w:rsid w:val="003A3051"/>
    <w:rsid w:val="003A5D31"/>
    <w:rsid w:val="003A5EB1"/>
    <w:rsid w:val="003B09C8"/>
    <w:rsid w:val="003B0E2B"/>
    <w:rsid w:val="003B24C9"/>
    <w:rsid w:val="003B3969"/>
    <w:rsid w:val="003C1E46"/>
    <w:rsid w:val="003C3342"/>
    <w:rsid w:val="003C4568"/>
    <w:rsid w:val="003C5B08"/>
    <w:rsid w:val="003D70F4"/>
    <w:rsid w:val="003D7D64"/>
    <w:rsid w:val="003E6735"/>
    <w:rsid w:val="003F167F"/>
    <w:rsid w:val="003F3D8D"/>
    <w:rsid w:val="003F7966"/>
    <w:rsid w:val="004053D6"/>
    <w:rsid w:val="00412BF7"/>
    <w:rsid w:val="00421004"/>
    <w:rsid w:val="004235BB"/>
    <w:rsid w:val="00425993"/>
    <w:rsid w:val="00426FC0"/>
    <w:rsid w:val="004274B3"/>
    <w:rsid w:val="00431BDF"/>
    <w:rsid w:val="004345DC"/>
    <w:rsid w:val="00437B9B"/>
    <w:rsid w:val="00437DC3"/>
    <w:rsid w:val="004431F4"/>
    <w:rsid w:val="004456B9"/>
    <w:rsid w:val="00446D33"/>
    <w:rsid w:val="00447D5C"/>
    <w:rsid w:val="00451CBE"/>
    <w:rsid w:val="004551D2"/>
    <w:rsid w:val="00463245"/>
    <w:rsid w:val="0046456B"/>
    <w:rsid w:val="00464F55"/>
    <w:rsid w:val="00471A12"/>
    <w:rsid w:val="004728F7"/>
    <w:rsid w:val="004735F7"/>
    <w:rsid w:val="00477290"/>
    <w:rsid w:val="00481462"/>
    <w:rsid w:val="004839FB"/>
    <w:rsid w:val="00485711"/>
    <w:rsid w:val="004A68CE"/>
    <w:rsid w:val="004B567E"/>
    <w:rsid w:val="004B5ED1"/>
    <w:rsid w:val="004C0886"/>
    <w:rsid w:val="004C2368"/>
    <w:rsid w:val="004C2C89"/>
    <w:rsid w:val="004C3AA3"/>
    <w:rsid w:val="004C47FD"/>
    <w:rsid w:val="004C6F75"/>
    <w:rsid w:val="004D4827"/>
    <w:rsid w:val="004E13DB"/>
    <w:rsid w:val="004E52D0"/>
    <w:rsid w:val="004E5BCE"/>
    <w:rsid w:val="004E60C5"/>
    <w:rsid w:val="004F1A1E"/>
    <w:rsid w:val="005122AE"/>
    <w:rsid w:val="005225E4"/>
    <w:rsid w:val="0052280E"/>
    <w:rsid w:val="005307EB"/>
    <w:rsid w:val="00536F20"/>
    <w:rsid w:val="0053784E"/>
    <w:rsid w:val="0055523F"/>
    <w:rsid w:val="00556BDD"/>
    <w:rsid w:val="005578E8"/>
    <w:rsid w:val="00557B32"/>
    <w:rsid w:val="00560074"/>
    <w:rsid w:val="00560096"/>
    <w:rsid w:val="00560302"/>
    <w:rsid w:val="00562B3D"/>
    <w:rsid w:val="005659E0"/>
    <w:rsid w:val="00565E4B"/>
    <w:rsid w:val="00566A78"/>
    <w:rsid w:val="00570100"/>
    <w:rsid w:val="00571FD1"/>
    <w:rsid w:val="0057214A"/>
    <w:rsid w:val="00573B63"/>
    <w:rsid w:val="00576254"/>
    <w:rsid w:val="00576CB9"/>
    <w:rsid w:val="0058212C"/>
    <w:rsid w:val="00582AE4"/>
    <w:rsid w:val="005839BA"/>
    <w:rsid w:val="0058415B"/>
    <w:rsid w:val="00587A88"/>
    <w:rsid w:val="00590303"/>
    <w:rsid w:val="00590FDA"/>
    <w:rsid w:val="0059236F"/>
    <w:rsid w:val="005945F4"/>
    <w:rsid w:val="00597331"/>
    <w:rsid w:val="005A2CE0"/>
    <w:rsid w:val="005A62EB"/>
    <w:rsid w:val="005A796F"/>
    <w:rsid w:val="005A7DE2"/>
    <w:rsid w:val="005B03D1"/>
    <w:rsid w:val="005B36D6"/>
    <w:rsid w:val="005B41EB"/>
    <w:rsid w:val="005B6EE2"/>
    <w:rsid w:val="005B7327"/>
    <w:rsid w:val="005C0A4E"/>
    <w:rsid w:val="005C45A8"/>
    <w:rsid w:val="005C578D"/>
    <w:rsid w:val="005D02D2"/>
    <w:rsid w:val="005D5419"/>
    <w:rsid w:val="005D5BB9"/>
    <w:rsid w:val="005E0753"/>
    <w:rsid w:val="005E0AB3"/>
    <w:rsid w:val="005E5299"/>
    <w:rsid w:val="005E6E44"/>
    <w:rsid w:val="005F6D34"/>
    <w:rsid w:val="005F6F4C"/>
    <w:rsid w:val="006002DD"/>
    <w:rsid w:val="0060284C"/>
    <w:rsid w:val="00605944"/>
    <w:rsid w:val="0061579D"/>
    <w:rsid w:val="00624012"/>
    <w:rsid w:val="006240C2"/>
    <w:rsid w:val="006242DB"/>
    <w:rsid w:val="00631A84"/>
    <w:rsid w:val="00632C5A"/>
    <w:rsid w:val="0063467F"/>
    <w:rsid w:val="00642451"/>
    <w:rsid w:val="00644ADF"/>
    <w:rsid w:val="0064597B"/>
    <w:rsid w:val="006533BD"/>
    <w:rsid w:val="00664626"/>
    <w:rsid w:val="00667DF0"/>
    <w:rsid w:val="00673972"/>
    <w:rsid w:val="00673D5D"/>
    <w:rsid w:val="00675C66"/>
    <w:rsid w:val="006819BF"/>
    <w:rsid w:val="00681ABF"/>
    <w:rsid w:val="00681C43"/>
    <w:rsid w:val="00682DBB"/>
    <w:rsid w:val="00687329"/>
    <w:rsid w:val="00687F10"/>
    <w:rsid w:val="0069648A"/>
    <w:rsid w:val="0069691A"/>
    <w:rsid w:val="006A4DDA"/>
    <w:rsid w:val="006B0EDD"/>
    <w:rsid w:val="006B5DB9"/>
    <w:rsid w:val="006B6F27"/>
    <w:rsid w:val="006C1655"/>
    <w:rsid w:val="006C1EB9"/>
    <w:rsid w:val="006C3058"/>
    <w:rsid w:val="006C32D0"/>
    <w:rsid w:val="006C35D2"/>
    <w:rsid w:val="006C6843"/>
    <w:rsid w:val="006C7E9A"/>
    <w:rsid w:val="006D1AA0"/>
    <w:rsid w:val="006D2EB6"/>
    <w:rsid w:val="006D65C9"/>
    <w:rsid w:val="006D7841"/>
    <w:rsid w:val="006D7BE2"/>
    <w:rsid w:val="006D7EAB"/>
    <w:rsid w:val="006E0942"/>
    <w:rsid w:val="006E0D2E"/>
    <w:rsid w:val="006E1753"/>
    <w:rsid w:val="006E1B58"/>
    <w:rsid w:val="006E3D54"/>
    <w:rsid w:val="006E7C09"/>
    <w:rsid w:val="006F0F13"/>
    <w:rsid w:val="006F4A01"/>
    <w:rsid w:val="006F57EB"/>
    <w:rsid w:val="00700ACD"/>
    <w:rsid w:val="00701275"/>
    <w:rsid w:val="007043C7"/>
    <w:rsid w:val="007054AB"/>
    <w:rsid w:val="007071B3"/>
    <w:rsid w:val="00707FB9"/>
    <w:rsid w:val="00710A12"/>
    <w:rsid w:val="00712E23"/>
    <w:rsid w:val="007143DD"/>
    <w:rsid w:val="0071450B"/>
    <w:rsid w:val="00716F58"/>
    <w:rsid w:val="00716FE0"/>
    <w:rsid w:val="00717C37"/>
    <w:rsid w:val="007208E7"/>
    <w:rsid w:val="007237D9"/>
    <w:rsid w:val="007245FB"/>
    <w:rsid w:val="00726548"/>
    <w:rsid w:val="00734802"/>
    <w:rsid w:val="00735941"/>
    <w:rsid w:val="00747B50"/>
    <w:rsid w:val="00752810"/>
    <w:rsid w:val="00752CE2"/>
    <w:rsid w:val="007555F1"/>
    <w:rsid w:val="00756AC1"/>
    <w:rsid w:val="0075707F"/>
    <w:rsid w:val="0076015E"/>
    <w:rsid w:val="00760AF4"/>
    <w:rsid w:val="00764D36"/>
    <w:rsid w:val="00764FC0"/>
    <w:rsid w:val="00772E32"/>
    <w:rsid w:val="007755BB"/>
    <w:rsid w:val="00777F70"/>
    <w:rsid w:val="007813B2"/>
    <w:rsid w:val="007829D9"/>
    <w:rsid w:val="0078478C"/>
    <w:rsid w:val="00785849"/>
    <w:rsid w:val="00793307"/>
    <w:rsid w:val="00793C28"/>
    <w:rsid w:val="007975EB"/>
    <w:rsid w:val="007A293B"/>
    <w:rsid w:val="007A518A"/>
    <w:rsid w:val="007A59CE"/>
    <w:rsid w:val="007A5D57"/>
    <w:rsid w:val="007A7BB2"/>
    <w:rsid w:val="007B1543"/>
    <w:rsid w:val="007B36AF"/>
    <w:rsid w:val="007B6197"/>
    <w:rsid w:val="007C3CB9"/>
    <w:rsid w:val="007C7F1E"/>
    <w:rsid w:val="007D0506"/>
    <w:rsid w:val="007D333B"/>
    <w:rsid w:val="007E29DC"/>
    <w:rsid w:val="007E37AE"/>
    <w:rsid w:val="007E48AD"/>
    <w:rsid w:val="007E7A31"/>
    <w:rsid w:val="007F1274"/>
    <w:rsid w:val="007F54D5"/>
    <w:rsid w:val="007F5AAD"/>
    <w:rsid w:val="007F6CC2"/>
    <w:rsid w:val="00805279"/>
    <w:rsid w:val="00805EC4"/>
    <w:rsid w:val="00806E22"/>
    <w:rsid w:val="008129C4"/>
    <w:rsid w:val="00813D40"/>
    <w:rsid w:val="00816383"/>
    <w:rsid w:val="00821CED"/>
    <w:rsid w:val="00822D0E"/>
    <w:rsid w:val="00823A34"/>
    <w:rsid w:val="00825DE6"/>
    <w:rsid w:val="008273F1"/>
    <w:rsid w:val="00831C21"/>
    <w:rsid w:val="00833466"/>
    <w:rsid w:val="00833E07"/>
    <w:rsid w:val="00842CFC"/>
    <w:rsid w:val="00847A6F"/>
    <w:rsid w:val="008505E8"/>
    <w:rsid w:val="008514B0"/>
    <w:rsid w:val="00851B9B"/>
    <w:rsid w:val="00852F33"/>
    <w:rsid w:val="0085571A"/>
    <w:rsid w:val="008624D5"/>
    <w:rsid w:val="008664A6"/>
    <w:rsid w:val="00866542"/>
    <w:rsid w:val="0088070E"/>
    <w:rsid w:val="0088382F"/>
    <w:rsid w:val="00884E7D"/>
    <w:rsid w:val="00887B21"/>
    <w:rsid w:val="00895B59"/>
    <w:rsid w:val="008964F3"/>
    <w:rsid w:val="008A127E"/>
    <w:rsid w:val="008A1A56"/>
    <w:rsid w:val="008A2070"/>
    <w:rsid w:val="008A46D1"/>
    <w:rsid w:val="008B4CC6"/>
    <w:rsid w:val="008B60DB"/>
    <w:rsid w:val="008C0962"/>
    <w:rsid w:val="008D395A"/>
    <w:rsid w:val="008D5732"/>
    <w:rsid w:val="008F288D"/>
    <w:rsid w:val="008F4574"/>
    <w:rsid w:val="008F5EAB"/>
    <w:rsid w:val="009026A1"/>
    <w:rsid w:val="00906555"/>
    <w:rsid w:val="00907677"/>
    <w:rsid w:val="00910134"/>
    <w:rsid w:val="00910C10"/>
    <w:rsid w:val="00914968"/>
    <w:rsid w:val="009152FE"/>
    <w:rsid w:val="0091642A"/>
    <w:rsid w:val="009171CA"/>
    <w:rsid w:val="009203E3"/>
    <w:rsid w:val="00926549"/>
    <w:rsid w:val="00927C50"/>
    <w:rsid w:val="0093555B"/>
    <w:rsid w:val="00935AAA"/>
    <w:rsid w:val="00936531"/>
    <w:rsid w:val="00940386"/>
    <w:rsid w:val="00944D6C"/>
    <w:rsid w:val="00947366"/>
    <w:rsid w:val="00957A4D"/>
    <w:rsid w:val="00962AF2"/>
    <w:rsid w:val="0096386B"/>
    <w:rsid w:val="0097595A"/>
    <w:rsid w:val="0098682A"/>
    <w:rsid w:val="009877E0"/>
    <w:rsid w:val="00993C24"/>
    <w:rsid w:val="009949E7"/>
    <w:rsid w:val="00996267"/>
    <w:rsid w:val="009A28E5"/>
    <w:rsid w:val="009B79EC"/>
    <w:rsid w:val="009C0CB8"/>
    <w:rsid w:val="009C556C"/>
    <w:rsid w:val="009D0F23"/>
    <w:rsid w:val="009E288E"/>
    <w:rsid w:val="009E5565"/>
    <w:rsid w:val="009F0A13"/>
    <w:rsid w:val="009F0C9D"/>
    <w:rsid w:val="009F0FF7"/>
    <w:rsid w:val="009F1F7D"/>
    <w:rsid w:val="00A1065A"/>
    <w:rsid w:val="00A10DAE"/>
    <w:rsid w:val="00A13A2F"/>
    <w:rsid w:val="00A13C52"/>
    <w:rsid w:val="00A24EE3"/>
    <w:rsid w:val="00A30A41"/>
    <w:rsid w:val="00A32029"/>
    <w:rsid w:val="00A33760"/>
    <w:rsid w:val="00A34A20"/>
    <w:rsid w:val="00A34A55"/>
    <w:rsid w:val="00A372CB"/>
    <w:rsid w:val="00A37A96"/>
    <w:rsid w:val="00A425D8"/>
    <w:rsid w:val="00A4492A"/>
    <w:rsid w:val="00A46E26"/>
    <w:rsid w:val="00A47B31"/>
    <w:rsid w:val="00A56897"/>
    <w:rsid w:val="00A61607"/>
    <w:rsid w:val="00A622A2"/>
    <w:rsid w:val="00A624BA"/>
    <w:rsid w:val="00A70C41"/>
    <w:rsid w:val="00A77789"/>
    <w:rsid w:val="00A77CCB"/>
    <w:rsid w:val="00A80BD5"/>
    <w:rsid w:val="00A812B3"/>
    <w:rsid w:val="00A82818"/>
    <w:rsid w:val="00A96DA4"/>
    <w:rsid w:val="00A9703B"/>
    <w:rsid w:val="00AA1E00"/>
    <w:rsid w:val="00AA5AD5"/>
    <w:rsid w:val="00AA6133"/>
    <w:rsid w:val="00AB1F21"/>
    <w:rsid w:val="00AB3A8B"/>
    <w:rsid w:val="00AB526A"/>
    <w:rsid w:val="00AB5890"/>
    <w:rsid w:val="00AC1364"/>
    <w:rsid w:val="00AC63A3"/>
    <w:rsid w:val="00AD0C39"/>
    <w:rsid w:val="00AD1642"/>
    <w:rsid w:val="00AD2F00"/>
    <w:rsid w:val="00AD56CB"/>
    <w:rsid w:val="00AD7D8D"/>
    <w:rsid w:val="00AF0705"/>
    <w:rsid w:val="00AF2473"/>
    <w:rsid w:val="00AF2DA7"/>
    <w:rsid w:val="00AF35F5"/>
    <w:rsid w:val="00B12340"/>
    <w:rsid w:val="00B13C86"/>
    <w:rsid w:val="00B178AB"/>
    <w:rsid w:val="00B21302"/>
    <w:rsid w:val="00B25E0F"/>
    <w:rsid w:val="00B266D3"/>
    <w:rsid w:val="00B27189"/>
    <w:rsid w:val="00B332B6"/>
    <w:rsid w:val="00B352D4"/>
    <w:rsid w:val="00B37249"/>
    <w:rsid w:val="00B42FDA"/>
    <w:rsid w:val="00B44958"/>
    <w:rsid w:val="00B45357"/>
    <w:rsid w:val="00B46101"/>
    <w:rsid w:val="00B47047"/>
    <w:rsid w:val="00B50125"/>
    <w:rsid w:val="00B501E9"/>
    <w:rsid w:val="00B51243"/>
    <w:rsid w:val="00B57683"/>
    <w:rsid w:val="00B60A27"/>
    <w:rsid w:val="00B60E89"/>
    <w:rsid w:val="00B60E99"/>
    <w:rsid w:val="00B61207"/>
    <w:rsid w:val="00B64EDE"/>
    <w:rsid w:val="00B64FBE"/>
    <w:rsid w:val="00B66D07"/>
    <w:rsid w:val="00B677ED"/>
    <w:rsid w:val="00B70820"/>
    <w:rsid w:val="00B775DD"/>
    <w:rsid w:val="00B84B60"/>
    <w:rsid w:val="00B856FA"/>
    <w:rsid w:val="00B86356"/>
    <w:rsid w:val="00B87750"/>
    <w:rsid w:val="00B87E2A"/>
    <w:rsid w:val="00B92A30"/>
    <w:rsid w:val="00B95BE3"/>
    <w:rsid w:val="00B9612C"/>
    <w:rsid w:val="00BA0F29"/>
    <w:rsid w:val="00BA3058"/>
    <w:rsid w:val="00BA4B58"/>
    <w:rsid w:val="00BB5046"/>
    <w:rsid w:val="00BB77C6"/>
    <w:rsid w:val="00BB782B"/>
    <w:rsid w:val="00BC0019"/>
    <w:rsid w:val="00BC19AC"/>
    <w:rsid w:val="00BC27FD"/>
    <w:rsid w:val="00BC3041"/>
    <w:rsid w:val="00BC64C5"/>
    <w:rsid w:val="00BC72B6"/>
    <w:rsid w:val="00BC7B0F"/>
    <w:rsid w:val="00BC7C82"/>
    <w:rsid w:val="00BD19BF"/>
    <w:rsid w:val="00BD2C7B"/>
    <w:rsid w:val="00BD30C2"/>
    <w:rsid w:val="00BD3604"/>
    <w:rsid w:val="00BD3A7F"/>
    <w:rsid w:val="00BD60A8"/>
    <w:rsid w:val="00BD6B50"/>
    <w:rsid w:val="00BD6D82"/>
    <w:rsid w:val="00BE6596"/>
    <w:rsid w:val="00BE65F0"/>
    <w:rsid w:val="00BE7C71"/>
    <w:rsid w:val="00BF225B"/>
    <w:rsid w:val="00C051EF"/>
    <w:rsid w:val="00C07CCC"/>
    <w:rsid w:val="00C1165F"/>
    <w:rsid w:val="00C14B28"/>
    <w:rsid w:val="00C1660A"/>
    <w:rsid w:val="00C16F89"/>
    <w:rsid w:val="00C23105"/>
    <w:rsid w:val="00C2360D"/>
    <w:rsid w:val="00C23706"/>
    <w:rsid w:val="00C24A3B"/>
    <w:rsid w:val="00C24EAA"/>
    <w:rsid w:val="00C25475"/>
    <w:rsid w:val="00C26026"/>
    <w:rsid w:val="00C30E24"/>
    <w:rsid w:val="00C34C62"/>
    <w:rsid w:val="00C3775C"/>
    <w:rsid w:val="00C4116A"/>
    <w:rsid w:val="00C4472E"/>
    <w:rsid w:val="00C47397"/>
    <w:rsid w:val="00C5093C"/>
    <w:rsid w:val="00C54386"/>
    <w:rsid w:val="00C551FC"/>
    <w:rsid w:val="00C57578"/>
    <w:rsid w:val="00C60AEE"/>
    <w:rsid w:val="00C61E4A"/>
    <w:rsid w:val="00C66623"/>
    <w:rsid w:val="00C7034A"/>
    <w:rsid w:val="00C72877"/>
    <w:rsid w:val="00C72B6D"/>
    <w:rsid w:val="00C73482"/>
    <w:rsid w:val="00C819E4"/>
    <w:rsid w:val="00C85162"/>
    <w:rsid w:val="00C85331"/>
    <w:rsid w:val="00C86D6F"/>
    <w:rsid w:val="00C878D1"/>
    <w:rsid w:val="00C93D01"/>
    <w:rsid w:val="00C950BA"/>
    <w:rsid w:val="00C97EB7"/>
    <w:rsid w:val="00CA1714"/>
    <w:rsid w:val="00CA1E2E"/>
    <w:rsid w:val="00CA5409"/>
    <w:rsid w:val="00CB4FE0"/>
    <w:rsid w:val="00CC3BBE"/>
    <w:rsid w:val="00CC5931"/>
    <w:rsid w:val="00CD1422"/>
    <w:rsid w:val="00CD21D3"/>
    <w:rsid w:val="00CE665B"/>
    <w:rsid w:val="00CF0398"/>
    <w:rsid w:val="00CF653A"/>
    <w:rsid w:val="00D0150D"/>
    <w:rsid w:val="00D01ED5"/>
    <w:rsid w:val="00D02555"/>
    <w:rsid w:val="00D02C53"/>
    <w:rsid w:val="00D03921"/>
    <w:rsid w:val="00D0609C"/>
    <w:rsid w:val="00D06ADA"/>
    <w:rsid w:val="00D17C80"/>
    <w:rsid w:val="00D2013D"/>
    <w:rsid w:val="00D2042D"/>
    <w:rsid w:val="00D21B9E"/>
    <w:rsid w:val="00D25CEA"/>
    <w:rsid w:val="00D30BFB"/>
    <w:rsid w:val="00D32899"/>
    <w:rsid w:val="00D332E1"/>
    <w:rsid w:val="00D367E0"/>
    <w:rsid w:val="00D371A8"/>
    <w:rsid w:val="00D42C6A"/>
    <w:rsid w:val="00D44A82"/>
    <w:rsid w:val="00D52411"/>
    <w:rsid w:val="00D55974"/>
    <w:rsid w:val="00D642CC"/>
    <w:rsid w:val="00D64594"/>
    <w:rsid w:val="00D65150"/>
    <w:rsid w:val="00D65318"/>
    <w:rsid w:val="00D66BDA"/>
    <w:rsid w:val="00D745D5"/>
    <w:rsid w:val="00D8165D"/>
    <w:rsid w:val="00D81893"/>
    <w:rsid w:val="00D82FB3"/>
    <w:rsid w:val="00D840CF"/>
    <w:rsid w:val="00D8465B"/>
    <w:rsid w:val="00D84839"/>
    <w:rsid w:val="00D96E24"/>
    <w:rsid w:val="00D97E30"/>
    <w:rsid w:val="00DA048F"/>
    <w:rsid w:val="00DA29F5"/>
    <w:rsid w:val="00DA4ADC"/>
    <w:rsid w:val="00DA5357"/>
    <w:rsid w:val="00DB05E7"/>
    <w:rsid w:val="00DC3966"/>
    <w:rsid w:val="00DC4870"/>
    <w:rsid w:val="00DC5D8C"/>
    <w:rsid w:val="00DD0773"/>
    <w:rsid w:val="00DD1D6F"/>
    <w:rsid w:val="00DD3591"/>
    <w:rsid w:val="00DE0B02"/>
    <w:rsid w:val="00DE30B6"/>
    <w:rsid w:val="00DE77A9"/>
    <w:rsid w:val="00DF06DD"/>
    <w:rsid w:val="00DF075F"/>
    <w:rsid w:val="00DF30D0"/>
    <w:rsid w:val="00DF47F7"/>
    <w:rsid w:val="00E0073C"/>
    <w:rsid w:val="00E042C2"/>
    <w:rsid w:val="00E0721B"/>
    <w:rsid w:val="00E15857"/>
    <w:rsid w:val="00E17D58"/>
    <w:rsid w:val="00E20290"/>
    <w:rsid w:val="00E2273A"/>
    <w:rsid w:val="00E23250"/>
    <w:rsid w:val="00E23E6E"/>
    <w:rsid w:val="00E3129E"/>
    <w:rsid w:val="00E32D25"/>
    <w:rsid w:val="00E359A0"/>
    <w:rsid w:val="00E3620A"/>
    <w:rsid w:val="00E362B7"/>
    <w:rsid w:val="00E42F93"/>
    <w:rsid w:val="00E441D8"/>
    <w:rsid w:val="00E46296"/>
    <w:rsid w:val="00E5065A"/>
    <w:rsid w:val="00E70B66"/>
    <w:rsid w:val="00E7369B"/>
    <w:rsid w:val="00E75AFA"/>
    <w:rsid w:val="00E80958"/>
    <w:rsid w:val="00E828F5"/>
    <w:rsid w:val="00E86B64"/>
    <w:rsid w:val="00E87135"/>
    <w:rsid w:val="00E905D7"/>
    <w:rsid w:val="00E9784E"/>
    <w:rsid w:val="00EA1162"/>
    <w:rsid w:val="00EA1625"/>
    <w:rsid w:val="00EA2920"/>
    <w:rsid w:val="00EA60A5"/>
    <w:rsid w:val="00EA6E13"/>
    <w:rsid w:val="00EA79CB"/>
    <w:rsid w:val="00EB020F"/>
    <w:rsid w:val="00EB51A7"/>
    <w:rsid w:val="00EC286C"/>
    <w:rsid w:val="00EC7C57"/>
    <w:rsid w:val="00ED34BF"/>
    <w:rsid w:val="00ED605F"/>
    <w:rsid w:val="00ED65CB"/>
    <w:rsid w:val="00EE151E"/>
    <w:rsid w:val="00EE2E56"/>
    <w:rsid w:val="00EE3606"/>
    <w:rsid w:val="00EE6809"/>
    <w:rsid w:val="00EF1CF2"/>
    <w:rsid w:val="00EF472A"/>
    <w:rsid w:val="00EF4EA5"/>
    <w:rsid w:val="00EF5D05"/>
    <w:rsid w:val="00F042C8"/>
    <w:rsid w:val="00F1127F"/>
    <w:rsid w:val="00F14BB2"/>
    <w:rsid w:val="00F15A7A"/>
    <w:rsid w:val="00F16CEC"/>
    <w:rsid w:val="00F175BD"/>
    <w:rsid w:val="00F21267"/>
    <w:rsid w:val="00F21DC8"/>
    <w:rsid w:val="00F2214F"/>
    <w:rsid w:val="00F253A4"/>
    <w:rsid w:val="00F27E94"/>
    <w:rsid w:val="00F34650"/>
    <w:rsid w:val="00F34A2D"/>
    <w:rsid w:val="00F34F88"/>
    <w:rsid w:val="00F43CBF"/>
    <w:rsid w:val="00F46906"/>
    <w:rsid w:val="00F46E13"/>
    <w:rsid w:val="00F471A8"/>
    <w:rsid w:val="00F477FB"/>
    <w:rsid w:val="00F527CC"/>
    <w:rsid w:val="00F53CBA"/>
    <w:rsid w:val="00F60FA7"/>
    <w:rsid w:val="00F612F1"/>
    <w:rsid w:val="00F63C52"/>
    <w:rsid w:val="00F641D4"/>
    <w:rsid w:val="00F67310"/>
    <w:rsid w:val="00F67350"/>
    <w:rsid w:val="00F67B89"/>
    <w:rsid w:val="00F765E2"/>
    <w:rsid w:val="00F818DD"/>
    <w:rsid w:val="00F832B9"/>
    <w:rsid w:val="00F85CE5"/>
    <w:rsid w:val="00F87EE9"/>
    <w:rsid w:val="00F90F48"/>
    <w:rsid w:val="00F965F8"/>
    <w:rsid w:val="00F96CF3"/>
    <w:rsid w:val="00FA0DF8"/>
    <w:rsid w:val="00FA1525"/>
    <w:rsid w:val="00FA37F0"/>
    <w:rsid w:val="00FA3D5E"/>
    <w:rsid w:val="00FA4331"/>
    <w:rsid w:val="00FA549F"/>
    <w:rsid w:val="00FB0A24"/>
    <w:rsid w:val="00FB1E10"/>
    <w:rsid w:val="00FB4D40"/>
    <w:rsid w:val="00FB5E6F"/>
    <w:rsid w:val="00FB664D"/>
    <w:rsid w:val="00FD1D2C"/>
    <w:rsid w:val="00FD4536"/>
    <w:rsid w:val="00FD51BA"/>
    <w:rsid w:val="00FD5535"/>
    <w:rsid w:val="00FD575E"/>
    <w:rsid w:val="00FE180F"/>
    <w:rsid w:val="00FE28CB"/>
    <w:rsid w:val="00FE5118"/>
    <w:rsid w:val="00FF5584"/>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B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0"/>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1"/>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numPr>
        <w:numId w:val="22"/>
      </w:numPr>
      <w:tabs>
        <w:tab w:val="clear" w:pos="284"/>
        <w:tab w:val="num" w:pos="397"/>
      </w:tabs>
      <w:spacing w:before="0" w:after="0" w:line="260" w:lineRule="exact"/>
      <w:ind w:left="397" w:hanging="397"/>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table" w:customStyle="1" w:styleId="TableGrid20">
    <w:name w:val="Table Grid2"/>
    <w:basedOn w:val="TableNormal"/>
    <w:next w:val="TableGrid"/>
    <w:uiPriority w:val="39"/>
    <w:rsid w:val="00382C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lobalFund2">
    <w:name w:val="Global Fund2"/>
    <w:basedOn w:val="TableNormal"/>
    <w:uiPriority w:val="99"/>
    <w:rsid w:val="00382C10"/>
    <w:pPr>
      <w:spacing w:before="0"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GlobalFund12">
    <w:name w:val="Global Fund 12"/>
    <w:basedOn w:val="GlobalFund"/>
    <w:uiPriority w:val="99"/>
    <w:rsid w:val="00382C10"/>
    <w:pPr>
      <w:spacing w:before="0"/>
    </w:pPr>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ColorfulGrid2">
    <w:name w:val="Colorful Grid2"/>
    <w:basedOn w:val="TableNormal"/>
    <w:next w:val="ColorfulGrid"/>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ColorfulGrid-Accent12">
    <w:name w:val="Colorful Grid - Accent 12"/>
    <w:basedOn w:val="TableNormal"/>
    <w:next w:val="ColorfulGrid-Accent1"/>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ColorfulGrid-Accent22">
    <w:name w:val="Colorful Grid - Accent 22"/>
    <w:basedOn w:val="TableNormal"/>
    <w:next w:val="ColorfulGrid-Accent2"/>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ColorfulGrid-Accent32">
    <w:name w:val="Colorful Grid - Accent 32"/>
    <w:basedOn w:val="TableNormal"/>
    <w:next w:val="ColorfulGrid-Accent3"/>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ColorfulGrid-Accent42">
    <w:name w:val="Colorful Grid - Accent 42"/>
    <w:basedOn w:val="TableNormal"/>
    <w:next w:val="ColorfulGrid-Accent4"/>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ColorfulGrid-Accent52">
    <w:name w:val="Colorful Grid - Accent 52"/>
    <w:basedOn w:val="TableNormal"/>
    <w:next w:val="ColorfulGrid-Accent5"/>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ColorfulGrid-Accent62">
    <w:name w:val="Colorful Grid - Accent 62"/>
    <w:basedOn w:val="TableNormal"/>
    <w:next w:val="ColorfulGrid-Accent6"/>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ColorfulList2">
    <w:name w:val="Colorful List2"/>
    <w:basedOn w:val="TableNormal"/>
    <w:next w:val="ColorfulList"/>
    <w:uiPriority w:val="72"/>
    <w:semiHidden/>
    <w:unhideWhenUsed/>
    <w:rsid w:val="00382C10"/>
    <w:pPr>
      <w:spacing w:before="0"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customStyle="1" w:styleId="ColorfulList-Accent12">
    <w:name w:val="Colorful List - Accent 12"/>
    <w:basedOn w:val="TableNormal"/>
    <w:next w:val="ColorfulList-Accent1"/>
    <w:uiPriority w:val="72"/>
    <w:semiHidden/>
    <w:unhideWhenUsed/>
    <w:rsid w:val="00382C10"/>
    <w:pPr>
      <w:spacing w:before="0"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customStyle="1" w:styleId="ColorfulList-Accent22">
    <w:name w:val="Colorful List - Accent 22"/>
    <w:basedOn w:val="TableNormal"/>
    <w:next w:val="ColorfulList-Accent2"/>
    <w:uiPriority w:val="72"/>
    <w:semiHidden/>
    <w:unhideWhenUsed/>
    <w:rsid w:val="00382C10"/>
    <w:pPr>
      <w:spacing w:before="0"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customStyle="1" w:styleId="ColorfulList-Accent32">
    <w:name w:val="Colorful List - Accent 32"/>
    <w:basedOn w:val="TableNormal"/>
    <w:next w:val="ColorfulList-Accent3"/>
    <w:uiPriority w:val="72"/>
    <w:semiHidden/>
    <w:unhideWhenUsed/>
    <w:rsid w:val="00382C10"/>
    <w:pPr>
      <w:spacing w:before="0"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customStyle="1" w:styleId="ColorfulList-Accent42">
    <w:name w:val="Colorful List - Accent 42"/>
    <w:basedOn w:val="TableNormal"/>
    <w:next w:val="ColorfulList-Accent4"/>
    <w:uiPriority w:val="72"/>
    <w:semiHidden/>
    <w:unhideWhenUsed/>
    <w:rsid w:val="00382C10"/>
    <w:pPr>
      <w:spacing w:before="0"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customStyle="1" w:styleId="ColorfulList-Accent52">
    <w:name w:val="Colorful List - Accent 52"/>
    <w:basedOn w:val="TableNormal"/>
    <w:next w:val="ColorfulList-Accent5"/>
    <w:uiPriority w:val="72"/>
    <w:semiHidden/>
    <w:unhideWhenUsed/>
    <w:rsid w:val="00382C10"/>
    <w:pPr>
      <w:spacing w:before="0"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customStyle="1" w:styleId="ColorfulList-Accent62">
    <w:name w:val="Colorful List - Accent 62"/>
    <w:basedOn w:val="TableNormal"/>
    <w:next w:val="ColorfulList-Accent6"/>
    <w:uiPriority w:val="72"/>
    <w:semiHidden/>
    <w:unhideWhenUsed/>
    <w:rsid w:val="00382C10"/>
    <w:pPr>
      <w:spacing w:before="0"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customStyle="1" w:styleId="ColorfulShading2">
    <w:name w:val="Colorful Shading2"/>
    <w:basedOn w:val="TableNormal"/>
    <w:next w:val="ColorfulShading"/>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customStyle="1" w:styleId="ColorfulShading-Accent12">
    <w:name w:val="Colorful Shading - Accent 12"/>
    <w:basedOn w:val="TableNormal"/>
    <w:next w:val="ColorfulShading-Accent1"/>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customStyle="1" w:styleId="ColorfulShading-Accent22">
    <w:name w:val="Colorful Shading - Accent 22"/>
    <w:basedOn w:val="TableNormal"/>
    <w:next w:val="ColorfulShading-Accent2"/>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customStyle="1" w:styleId="ColorfulShading-Accent32">
    <w:name w:val="Colorful Shading - Accent 32"/>
    <w:basedOn w:val="TableNormal"/>
    <w:next w:val="ColorfulShading-Accent3"/>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customStyle="1" w:styleId="ColorfulShading-Accent42">
    <w:name w:val="Colorful Shading - Accent 42"/>
    <w:basedOn w:val="TableNormal"/>
    <w:next w:val="ColorfulShading-Accent4"/>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customStyle="1" w:styleId="ColorfulShading-Accent52">
    <w:name w:val="Colorful Shading - Accent 52"/>
    <w:basedOn w:val="TableNormal"/>
    <w:next w:val="ColorfulShading-Accent5"/>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customStyle="1" w:styleId="ColorfulShading-Accent62">
    <w:name w:val="Colorful Shading - Accent 62"/>
    <w:basedOn w:val="TableNormal"/>
    <w:next w:val="ColorfulShading-Accent6"/>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table" w:customStyle="1" w:styleId="DarkList2">
    <w:name w:val="Dark List2"/>
    <w:basedOn w:val="TableNormal"/>
    <w:next w:val="DarkList"/>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customStyle="1" w:styleId="DarkList-Accent12">
    <w:name w:val="Dark List - Accent 12"/>
    <w:basedOn w:val="TableNormal"/>
    <w:next w:val="DarkList-Accent1"/>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customStyle="1" w:styleId="DarkList-Accent22">
    <w:name w:val="Dark List - Accent 22"/>
    <w:basedOn w:val="TableNormal"/>
    <w:next w:val="DarkList-Accent2"/>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customStyle="1" w:styleId="DarkList-Accent32">
    <w:name w:val="Dark List - Accent 32"/>
    <w:basedOn w:val="TableNormal"/>
    <w:next w:val="DarkList-Accent3"/>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customStyle="1" w:styleId="DarkList-Accent42">
    <w:name w:val="Dark List - Accent 42"/>
    <w:basedOn w:val="TableNormal"/>
    <w:next w:val="DarkList-Accent4"/>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customStyle="1" w:styleId="DarkList-Accent52">
    <w:name w:val="Dark List - Accent 52"/>
    <w:basedOn w:val="TableNormal"/>
    <w:next w:val="DarkList-Accent5"/>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customStyle="1" w:styleId="DarkList-Accent62">
    <w:name w:val="Dark List - Accent 62"/>
    <w:basedOn w:val="TableNormal"/>
    <w:next w:val="DarkList-Accent6"/>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table" w:customStyle="1" w:styleId="GridTable1Light2">
    <w:name w:val="Grid Table 1 Light2"/>
    <w:basedOn w:val="TableNormal"/>
    <w:next w:val="GridTable1Light"/>
    <w:uiPriority w:val="46"/>
    <w:rsid w:val="00382C10"/>
    <w:pPr>
      <w:spacing w:before="0"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82C10"/>
    <w:pPr>
      <w:spacing w:before="0"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382C10"/>
    <w:pPr>
      <w:spacing w:before="0"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382C10"/>
    <w:pPr>
      <w:spacing w:before="0"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next w:val="GridTable1Light-Accent4"/>
    <w:uiPriority w:val="46"/>
    <w:rsid w:val="00382C10"/>
    <w:pPr>
      <w:spacing w:before="0"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382C10"/>
    <w:pPr>
      <w:spacing w:before="0"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382C10"/>
    <w:pPr>
      <w:spacing w:before="0"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next w:val="GridTable2"/>
    <w:uiPriority w:val="47"/>
    <w:rsid w:val="00382C10"/>
    <w:pPr>
      <w:spacing w:before="0"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2">
    <w:name w:val="Grid Table 2 - Accent 12"/>
    <w:basedOn w:val="TableNormal"/>
    <w:next w:val="GridTable2-Accent1"/>
    <w:uiPriority w:val="47"/>
    <w:rsid w:val="00382C10"/>
    <w:pPr>
      <w:spacing w:before="0"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2">
    <w:name w:val="Grid Table 2 - Accent 22"/>
    <w:basedOn w:val="TableNormal"/>
    <w:next w:val="GridTable2-Accent2"/>
    <w:uiPriority w:val="47"/>
    <w:rsid w:val="00382C10"/>
    <w:pPr>
      <w:spacing w:before="0"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2">
    <w:name w:val="Grid Table 2 - Accent 32"/>
    <w:basedOn w:val="TableNormal"/>
    <w:next w:val="GridTable2-Accent3"/>
    <w:uiPriority w:val="47"/>
    <w:rsid w:val="00382C10"/>
    <w:pPr>
      <w:spacing w:before="0"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2">
    <w:name w:val="Grid Table 2 - Accent 42"/>
    <w:basedOn w:val="TableNormal"/>
    <w:next w:val="GridTable2-Accent4"/>
    <w:uiPriority w:val="47"/>
    <w:rsid w:val="00382C10"/>
    <w:pPr>
      <w:spacing w:before="0"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2">
    <w:name w:val="Grid Table 2 - Accent 52"/>
    <w:basedOn w:val="TableNormal"/>
    <w:next w:val="GridTable2-Accent5"/>
    <w:uiPriority w:val="47"/>
    <w:rsid w:val="00382C10"/>
    <w:pPr>
      <w:spacing w:before="0"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2">
    <w:name w:val="Grid Table 2 - Accent 62"/>
    <w:basedOn w:val="TableNormal"/>
    <w:next w:val="GridTable2-Accent6"/>
    <w:uiPriority w:val="47"/>
    <w:rsid w:val="00382C10"/>
    <w:pPr>
      <w:spacing w:before="0"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2">
    <w:name w:val="Grid Table 32"/>
    <w:basedOn w:val="TableNormal"/>
    <w:next w:val="GridTable3"/>
    <w:uiPriority w:val="48"/>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2">
    <w:name w:val="Grid Table 3 - Accent 12"/>
    <w:basedOn w:val="TableNormal"/>
    <w:next w:val="GridTable3-Accent1"/>
    <w:uiPriority w:val="48"/>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2">
    <w:name w:val="Grid Table 3 - Accent 22"/>
    <w:basedOn w:val="TableNormal"/>
    <w:next w:val="GridTable3-Accent2"/>
    <w:uiPriority w:val="48"/>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2">
    <w:name w:val="Grid Table 3 - Accent 32"/>
    <w:basedOn w:val="TableNormal"/>
    <w:next w:val="GridTable3-Accent3"/>
    <w:uiPriority w:val="48"/>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2">
    <w:name w:val="Grid Table 3 - Accent 42"/>
    <w:basedOn w:val="TableNormal"/>
    <w:next w:val="GridTable3-Accent4"/>
    <w:uiPriority w:val="48"/>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2">
    <w:name w:val="Grid Table 3 - Accent 52"/>
    <w:basedOn w:val="TableNormal"/>
    <w:next w:val="GridTable3-Accent5"/>
    <w:uiPriority w:val="48"/>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2">
    <w:name w:val="Grid Table 3 - Accent 62"/>
    <w:basedOn w:val="TableNormal"/>
    <w:next w:val="GridTable3-Accent6"/>
    <w:uiPriority w:val="48"/>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2">
    <w:name w:val="Grid Table 42"/>
    <w:basedOn w:val="TableNormal"/>
    <w:next w:val="Grid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2">
    <w:name w:val="Grid Table 4 - Accent 12"/>
    <w:basedOn w:val="TableNormal"/>
    <w:next w:val="Grid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2">
    <w:name w:val="Grid Table 4 - Accent 22"/>
    <w:basedOn w:val="TableNormal"/>
    <w:next w:val="Grid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2">
    <w:name w:val="Grid Table 4 - Accent 32"/>
    <w:basedOn w:val="TableNormal"/>
    <w:next w:val="Grid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2">
    <w:name w:val="Grid Table 4 - Accent 42"/>
    <w:basedOn w:val="TableNormal"/>
    <w:next w:val="Grid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2">
    <w:name w:val="Grid Table 4 - Accent 52"/>
    <w:basedOn w:val="TableNormal"/>
    <w:next w:val="Grid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2">
    <w:name w:val="Grid Table 4 - Accent 62"/>
    <w:basedOn w:val="TableNormal"/>
    <w:next w:val="Grid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2">
    <w:name w:val="Grid Table 5 Dark2"/>
    <w:basedOn w:val="TableNormal"/>
    <w:next w:val="GridTable5Dark"/>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2">
    <w:name w:val="Grid Table 5 Dark - Accent 12"/>
    <w:basedOn w:val="TableNormal"/>
    <w:next w:val="GridTable5Dark-Accent1"/>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2">
    <w:name w:val="Grid Table 5 Dark - Accent 22"/>
    <w:basedOn w:val="TableNormal"/>
    <w:next w:val="GridTable5Dark-Accent2"/>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2">
    <w:name w:val="Grid Table 5 Dark - Accent 32"/>
    <w:basedOn w:val="TableNormal"/>
    <w:next w:val="GridTable5Dark-Accent3"/>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2">
    <w:name w:val="Grid Table 5 Dark - Accent 42"/>
    <w:basedOn w:val="TableNormal"/>
    <w:next w:val="GridTable5Dark-Accent4"/>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2">
    <w:name w:val="Grid Table 5 Dark - Accent 52"/>
    <w:basedOn w:val="TableNormal"/>
    <w:next w:val="GridTable5Dark-Accent5"/>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2">
    <w:name w:val="Grid Table 5 Dark - Accent 62"/>
    <w:basedOn w:val="TableNormal"/>
    <w:next w:val="GridTable5Dark-Accent6"/>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2">
    <w:name w:val="Grid Table 6 Colorful2"/>
    <w:basedOn w:val="TableNormal"/>
    <w:next w:val="GridTable6Colorful"/>
    <w:uiPriority w:val="51"/>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2">
    <w:name w:val="Grid Table 6 Colorful - Accent 12"/>
    <w:basedOn w:val="TableNormal"/>
    <w:next w:val="Grid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2">
    <w:name w:val="Grid Table 6 Colorful - Accent 22"/>
    <w:basedOn w:val="TableNormal"/>
    <w:next w:val="Grid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2">
    <w:name w:val="Grid Table 6 Colorful - Accent 32"/>
    <w:basedOn w:val="TableNormal"/>
    <w:next w:val="Grid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2">
    <w:name w:val="Grid Table 6 Colorful - Accent 42"/>
    <w:basedOn w:val="TableNormal"/>
    <w:next w:val="Grid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2">
    <w:name w:val="Grid Table 6 Colorful - Accent 52"/>
    <w:basedOn w:val="TableNormal"/>
    <w:next w:val="Grid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2">
    <w:name w:val="Grid Table 6 Colorful - Accent 62"/>
    <w:basedOn w:val="TableNormal"/>
    <w:next w:val="Grid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2">
    <w:name w:val="Grid Table 7 Colorful2"/>
    <w:basedOn w:val="TableNormal"/>
    <w:next w:val="GridTable7Colorful"/>
    <w:uiPriority w:val="52"/>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2">
    <w:name w:val="Grid Table 7 Colorful - Accent 12"/>
    <w:basedOn w:val="TableNormal"/>
    <w:next w:val="GridTable7Colorful-Accent1"/>
    <w:uiPriority w:val="52"/>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2">
    <w:name w:val="Grid Table 7 Colorful - Accent 22"/>
    <w:basedOn w:val="TableNormal"/>
    <w:next w:val="GridTable7Colorful-Accent2"/>
    <w:uiPriority w:val="52"/>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2">
    <w:name w:val="Grid Table 7 Colorful - Accent 32"/>
    <w:basedOn w:val="TableNormal"/>
    <w:next w:val="GridTable7Colorful-Accent3"/>
    <w:uiPriority w:val="52"/>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2">
    <w:name w:val="Grid Table 7 Colorful - Accent 42"/>
    <w:basedOn w:val="TableNormal"/>
    <w:next w:val="GridTable7Colorful-Accent4"/>
    <w:uiPriority w:val="52"/>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2">
    <w:name w:val="Grid Table 7 Colorful - Accent 52"/>
    <w:basedOn w:val="TableNormal"/>
    <w:next w:val="GridTable7Colorful-Accent5"/>
    <w:uiPriority w:val="52"/>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2">
    <w:name w:val="Grid Table 7 Colorful - Accent 62"/>
    <w:basedOn w:val="TableNormal"/>
    <w:next w:val="GridTable7Colorful-Accent6"/>
    <w:uiPriority w:val="52"/>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LightGrid2">
    <w:name w:val="Light Grid2"/>
    <w:basedOn w:val="TableNormal"/>
    <w:next w:val="LightGrid"/>
    <w:uiPriority w:val="62"/>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customStyle="1" w:styleId="LightGrid-Accent12">
    <w:name w:val="Light Grid - Accent 12"/>
    <w:basedOn w:val="TableNormal"/>
    <w:next w:val="LightGrid-Accent1"/>
    <w:uiPriority w:val="62"/>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customStyle="1" w:styleId="LightGrid-Accent22">
    <w:name w:val="Light Grid - Accent 22"/>
    <w:basedOn w:val="TableNormal"/>
    <w:next w:val="LightGrid-Accent2"/>
    <w:uiPriority w:val="62"/>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customStyle="1" w:styleId="LightGrid-Accent32">
    <w:name w:val="Light Grid - Accent 32"/>
    <w:basedOn w:val="TableNormal"/>
    <w:next w:val="LightGrid-Accent3"/>
    <w:uiPriority w:val="62"/>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customStyle="1" w:styleId="LightGrid-Accent42">
    <w:name w:val="Light Grid - Accent 42"/>
    <w:basedOn w:val="TableNormal"/>
    <w:next w:val="LightGrid-Accent4"/>
    <w:uiPriority w:val="62"/>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customStyle="1" w:styleId="LightGrid-Accent52">
    <w:name w:val="Light Grid - Accent 52"/>
    <w:basedOn w:val="TableNormal"/>
    <w:next w:val="LightGrid-Accent5"/>
    <w:uiPriority w:val="62"/>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customStyle="1" w:styleId="LightGrid-Accent62">
    <w:name w:val="Light Grid - Accent 62"/>
    <w:basedOn w:val="TableNormal"/>
    <w:next w:val="LightGrid-Accent6"/>
    <w:uiPriority w:val="62"/>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customStyle="1" w:styleId="LightList2">
    <w:name w:val="Light List2"/>
    <w:basedOn w:val="TableNormal"/>
    <w:next w:val="LightList"/>
    <w:uiPriority w:val="61"/>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customStyle="1" w:styleId="LightList-Accent12">
    <w:name w:val="Light List - Accent 12"/>
    <w:basedOn w:val="TableNormal"/>
    <w:next w:val="LightList-Accent1"/>
    <w:uiPriority w:val="61"/>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customStyle="1" w:styleId="LightList-Accent22">
    <w:name w:val="Light List - Accent 22"/>
    <w:basedOn w:val="TableNormal"/>
    <w:next w:val="LightList-Accent2"/>
    <w:uiPriority w:val="61"/>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customStyle="1" w:styleId="LightList-Accent32">
    <w:name w:val="Light List - Accent 32"/>
    <w:basedOn w:val="TableNormal"/>
    <w:next w:val="LightList-Accent3"/>
    <w:uiPriority w:val="61"/>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customStyle="1" w:styleId="LightList-Accent42">
    <w:name w:val="Light List - Accent 42"/>
    <w:basedOn w:val="TableNormal"/>
    <w:next w:val="LightList-Accent4"/>
    <w:uiPriority w:val="61"/>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customStyle="1" w:styleId="LightList-Accent52">
    <w:name w:val="Light List - Accent 52"/>
    <w:basedOn w:val="TableNormal"/>
    <w:next w:val="LightList-Accent5"/>
    <w:uiPriority w:val="61"/>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customStyle="1" w:styleId="LightList-Accent62">
    <w:name w:val="Light List - Accent 62"/>
    <w:basedOn w:val="TableNormal"/>
    <w:next w:val="LightList-Accent6"/>
    <w:uiPriority w:val="61"/>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customStyle="1" w:styleId="LightShading2">
    <w:name w:val="Light Shading2"/>
    <w:basedOn w:val="TableNormal"/>
    <w:next w:val="LightShading"/>
    <w:uiPriority w:val="60"/>
    <w:semiHidden/>
    <w:unhideWhenUsed/>
    <w:rsid w:val="00382C10"/>
    <w:pPr>
      <w:spacing w:before="0"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customStyle="1" w:styleId="LightShading-Accent12">
    <w:name w:val="Light Shading - Accent 12"/>
    <w:basedOn w:val="TableNormal"/>
    <w:next w:val="LightShading-Accent1"/>
    <w:uiPriority w:val="60"/>
    <w:semiHidden/>
    <w:unhideWhenUsed/>
    <w:rsid w:val="00382C10"/>
    <w:pPr>
      <w:spacing w:before="0"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customStyle="1" w:styleId="LightShading-Accent22">
    <w:name w:val="Light Shading - Accent 22"/>
    <w:basedOn w:val="TableNormal"/>
    <w:next w:val="LightShading-Accent2"/>
    <w:uiPriority w:val="60"/>
    <w:semiHidden/>
    <w:unhideWhenUsed/>
    <w:rsid w:val="00382C10"/>
    <w:pPr>
      <w:spacing w:before="0"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customStyle="1" w:styleId="LightShading-Accent32">
    <w:name w:val="Light Shading - Accent 32"/>
    <w:basedOn w:val="TableNormal"/>
    <w:next w:val="LightShading-Accent3"/>
    <w:uiPriority w:val="60"/>
    <w:semiHidden/>
    <w:unhideWhenUsed/>
    <w:rsid w:val="00382C10"/>
    <w:pPr>
      <w:spacing w:before="0"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customStyle="1" w:styleId="LightShading-Accent42">
    <w:name w:val="Light Shading - Accent 42"/>
    <w:basedOn w:val="TableNormal"/>
    <w:next w:val="LightShading-Accent4"/>
    <w:uiPriority w:val="60"/>
    <w:semiHidden/>
    <w:unhideWhenUsed/>
    <w:rsid w:val="00382C10"/>
    <w:pPr>
      <w:spacing w:before="0"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customStyle="1" w:styleId="LightShading-Accent52">
    <w:name w:val="Light Shading - Accent 52"/>
    <w:basedOn w:val="TableNormal"/>
    <w:next w:val="LightShading-Accent5"/>
    <w:uiPriority w:val="60"/>
    <w:semiHidden/>
    <w:unhideWhenUsed/>
    <w:rsid w:val="00382C10"/>
    <w:pPr>
      <w:spacing w:before="0"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customStyle="1" w:styleId="LightShading-Accent62">
    <w:name w:val="Light Shading - Accent 62"/>
    <w:basedOn w:val="TableNormal"/>
    <w:next w:val="LightShading-Accent6"/>
    <w:uiPriority w:val="60"/>
    <w:semiHidden/>
    <w:unhideWhenUsed/>
    <w:rsid w:val="00382C10"/>
    <w:pPr>
      <w:spacing w:before="0"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table" w:customStyle="1" w:styleId="ListTable1Light2">
    <w:name w:val="List Table 1 Light2"/>
    <w:basedOn w:val="TableNormal"/>
    <w:next w:val="ListTable1Light"/>
    <w:uiPriority w:val="46"/>
    <w:rsid w:val="00382C10"/>
    <w:pPr>
      <w:spacing w:before="0"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2">
    <w:name w:val="List Table 1 Light - Accent 12"/>
    <w:basedOn w:val="TableNormal"/>
    <w:next w:val="ListTable1Light-Accent1"/>
    <w:uiPriority w:val="46"/>
    <w:rsid w:val="00382C10"/>
    <w:pPr>
      <w:spacing w:before="0"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2">
    <w:name w:val="List Table 1 Light - Accent 22"/>
    <w:basedOn w:val="TableNormal"/>
    <w:next w:val="ListTable1Light-Accent2"/>
    <w:uiPriority w:val="46"/>
    <w:rsid w:val="00382C10"/>
    <w:pPr>
      <w:spacing w:before="0"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2">
    <w:name w:val="List Table 1 Light - Accent 32"/>
    <w:basedOn w:val="TableNormal"/>
    <w:next w:val="ListTable1Light-Accent3"/>
    <w:uiPriority w:val="46"/>
    <w:rsid w:val="00382C10"/>
    <w:pPr>
      <w:spacing w:before="0"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2">
    <w:name w:val="List Table 1 Light - Accent 42"/>
    <w:basedOn w:val="TableNormal"/>
    <w:next w:val="ListTable1Light-Accent4"/>
    <w:uiPriority w:val="46"/>
    <w:rsid w:val="00382C10"/>
    <w:pPr>
      <w:spacing w:before="0"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2">
    <w:name w:val="List Table 1 Light - Accent 52"/>
    <w:basedOn w:val="TableNormal"/>
    <w:next w:val="ListTable1Light-Accent5"/>
    <w:uiPriority w:val="46"/>
    <w:rsid w:val="00382C10"/>
    <w:pPr>
      <w:spacing w:before="0"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2">
    <w:name w:val="List Table 1 Light - Accent 62"/>
    <w:basedOn w:val="TableNormal"/>
    <w:next w:val="ListTable1Light-Accent6"/>
    <w:uiPriority w:val="46"/>
    <w:rsid w:val="00382C10"/>
    <w:pPr>
      <w:spacing w:before="0"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2">
    <w:name w:val="List Table 22"/>
    <w:basedOn w:val="TableNormal"/>
    <w:next w:val="ListTable2"/>
    <w:uiPriority w:val="47"/>
    <w:rsid w:val="00382C10"/>
    <w:pPr>
      <w:spacing w:before="0"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2">
    <w:name w:val="List Table 2 - Accent 12"/>
    <w:basedOn w:val="TableNormal"/>
    <w:next w:val="ListTable2-Accent1"/>
    <w:uiPriority w:val="47"/>
    <w:rsid w:val="00382C10"/>
    <w:pPr>
      <w:spacing w:before="0"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2">
    <w:name w:val="List Table 2 - Accent 22"/>
    <w:basedOn w:val="TableNormal"/>
    <w:next w:val="ListTable2-Accent2"/>
    <w:uiPriority w:val="47"/>
    <w:rsid w:val="00382C10"/>
    <w:pPr>
      <w:spacing w:before="0"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2">
    <w:name w:val="List Table 2 - Accent 32"/>
    <w:basedOn w:val="TableNormal"/>
    <w:next w:val="ListTable2-Accent3"/>
    <w:uiPriority w:val="47"/>
    <w:rsid w:val="00382C10"/>
    <w:pPr>
      <w:spacing w:before="0"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2">
    <w:name w:val="List Table 2 - Accent 42"/>
    <w:basedOn w:val="TableNormal"/>
    <w:next w:val="ListTable2-Accent4"/>
    <w:uiPriority w:val="47"/>
    <w:rsid w:val="00382C10"/>
    <w:pPr>
      <w:spacing w:before="0"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2">
    <w:name w:val="List Table 2 - Accent 52"/>
    <w:basedOn w:val="TableNormal"/>
    <w:next w:val="ListTable2-Accent5"/>
    <w:uiPriority w:val="47"/>
    <w:rsid w:val="00382C10"/>
    <w:pPr>
      <w:spacing w:before="0"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2">
    <w:name w:val="List Table 2 - Accent 62"/>
    <w:basedOn w:val="TableNormal"/>
    <w:next w:val="ListTable2-Accent6"/>
    <w:uiPriority w:val="47"/>
    <w:rsid w:val="00382C10"/>
    <w:pPr>
      <w:spacing w:before="0"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2">
    <w:name w:val="List Table 32"/>
    <w:basedOn w:val="TableNormal"/>
    <w:next w:val="ListTable3"/>
    <w:uiPriority w:val="48"/>
    <w:rsid w:val="00382C10"/>
    <w:pPr>
      <w:spacing w:before="0"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2">
    <w:name w:val="List Table 3 - Accent 12"/>
    <w:basedOn w:val="TableNormal"/>
    <w:next w:val="ListTable3-Accent1"/>
    <w:uiPriority w:val="48"/>
    <w:rsid w:val="00382C10"/>
    <w:pPr>
      <w:spacing w:before="0"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2">
    <w:name w:val="List Table 3 - Accent 22"/>
    <w:basedOn w:val="TableNormal"/>
    <w:next w:val="ListTable3-Accent2"/>
    <w:uiPriority w:val="48"/>
    <w:rsid w:val="00382C10"/>
    <w:pPr>
      <w:spacing w:before="0"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2">
    <w:name w:val="List Table 3 - Accent 32"/>
    <w:basedOn w:val="TableNormal"/>
    <w:next w:val="ListTable3-Accent3"/>
    <w:uiPriority w:val="48"/>
    <w:rsid w:val="00382C10"/>
    <w:pPr>
      <w:spacing w:before="0"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2">
    <w:name w:val="List Table 3 - Accent 42"/>
    <w:basedOn w:val="TableNormal"/>
    <w:next w:val="ListTable3-Accent4"/>
    <w:uiPriority w:val="48"/>
    <w:rsid w:val="00382C10"/>
    <w:pPr>
      <w:spacing w:before="0"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2">
    <w:name w:val="List Table 3 - Accent 52"/>
    <w:basedOn w:val="TableNormal"/>
    <w:next w:val="ListTable3-Accent5"/>
    <w:uiPriority w:val="48"/>
    <w:rsid w:val="00382C10"/>
    <w:pPr>
      <w:spacing w:before="0"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2">
    <w:name w:val="List Table 3 - Accent 62"/>
    <w:basedOn w:val="TableNormal"/>
    <w:next w:val="ListTable3-Accent6"/>
    <w:uiPriority w:val="48"/>
    <w:rsid w:val="00382C10"/>
    <w:pPr>
      <w:spacing w:before="0"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2">
    <w:name w:val="List Table 42"/>
    <w:basedOn w:val="TableNormal"/>
    <w:next w:val="List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2">
    <w:name w:val="List Table 4 - Accent 12"/>
    <w:basedOn w:val="TableNormal"/>
    <w:next w:val="List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2">
    <w:name w:val="List Table 4 - Accent 22"/>
    <w:basedOn w:val="TableNormal"/>
    <w:next w:val="List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2">
    <w:name w:val="List Table 4 - Accent 32"/>
    <w:basedOn w:val="TableNormal"/>
    <w:next w:val="List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2">
    <w:name w:val="List Table 4 - Accent 42"/>
    <w:basedOn w:val="TableNormal"/>
    <w:next w:val="List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2">
    <w:name w:val="List Table 4 - Accent 52"/>
    <w:basedOn w:val="TableNormal"/>
    <w:next w:val="List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2">
    <w:name w:val="List Table 4 - Accent 62"/>
    <w:basedOn w:val="TableNormal"/>
    <w:next w:val="List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2">
    <w:name w:val="List Table 5 Dark2"/>
    <w:basedOn w:val="TableNormal"/>
    <w:next w:val="ListTable5Dark"/>
    <w:uiPriority w:val="50"/>
    <w:rsid w:val="00382C10"/>
    <w:pPr>
      <w:spacing w:before="0"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next w:val="ListTable5Dark-Accent1"/>
    <w:uiPriority w:val="50"/>
    <w:rsid w:val="00382C10"/>
    <w:pPr>
      <w:spacing w:before="0"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next w:val="ListTable5Dark-Accent2"/>
    <w:uiPriority w:val="50"/>
    <w:rsid w:val="00382C10"/>
    <w:pPr>
      <w:spacing w:before="0"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next w:val="ListTable5Dark-Accent3"/>
    <w:uiPriority w:val="50"/>
    <w:rsid w:val="00382C10"/>
    <w:pPr>
      <w:spacing w:before="0"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next w:val="ListTable5Dark-Accent4"/>
    <w:uiPriority w:val="50"/>
    <w:rsid w:val="00382C10"/>
    <w:pPr>
      <w:spacing w:before="0"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next w:val="ListTable5Dark-Accent5"/>
    <w:uiPriority w:val="50"/>
    <w:rsid w:val="00382C10"/>
    <w:pPr>
      <w:spacing w:before="0"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next w:val="ListTable5Dark-Accent6"/>
    <w:uiPriority w:val="50"/>
    <w:rsid w:val="00382C10"/>
    <w:pPr>
      <w:spacing w:before="0"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next w:val="ListTable6Colorful"/>
    <w:uiPriority w:val="51"/>
    <w:rsid w:val="00382C10"/>
    <w:pPr>
      <w:spacing w:before="0"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2">
    <w:name w:val="List Table 6 Colorful - Accent 12"/>
    <w:basedOn w:val="TableNormal"/>
    <w:next w:val="List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2">
    <w:name w:val="List Table 6 Colorful - Accent 22"/>
    <w:basedOn w:val="TableNormal"/>
    <w:next w:val="List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2">
    <w:name w:val="List Table 6 Colorful - Accent 32"/>
    <w:basedOn w:val="TableNormal"/>
    <w:next w:val="List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2">
    <w:name w:val="List Table 6 Colorful - Accent 42"/>
    <w:basedOn w:val="TableNormal"/>
    <w:next w:val="List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2">
    <w:name w:val="List Table 6 Colorful - Accent 52"/>
    <w:basedOn w:val="TableNormal"/>
    <w:next w:val="List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2">
    <w:name w:val="List Table 6 Colorful - Accent 62"/>
    <w:basedOn w:val="TableNormal"/>
    <w:next w:val="List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2">
    <w:name w:val="List Table 7 Colorful2"/>
    <w:basedOn w:val="TableNormal"/>
    <w:next w:val="ListTable7Colorful"/>
    <w:uiPriority w:val="52"/>
    <w:rsid w:val="00382C10"/>
    <w:pPr>
      <w:spacing w:before="0"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next w:val="ListTable7Colorful-Accent1"/>
    <w:uiPriority w:val="52"/>
    <w:rsid w:val="00382C10"/>
    <w:pPr>
      <w:spacing w:before="0"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next w:val="ListTable7Colorful-Accent2"/>
    <w:uiPriority w:val="52"/>
    <w:rsid w:val="00382C10"/>
    <w:pPr>
      <w:spacing w:before="0"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next w:val="ListTable7Colorful-Accent3"/>
    <w:uiPriority w:val="52"/>
    <w:rsid w:val="00382C10"/>
    <w:pPr>
      <w:spacing w:before="0"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next w:val="ListTable7Colorful-Accent4"/>
    <w:uiPriority w:val="52"/>
    <w:rsid w:val="00382C10"/>
    <w:pPr>
      <w:spacing w:before="0"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
    <w:uiPriority w:val="52"/>
    <w:rsid w:val="00382C10"/>
    <w:pPr>
      <w:spacing w:before="0"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next w:val="ListTable7Colorful-Accent6"/>
    <w:uiPriority w:val="52"/>
    <w:rsid w:val="00382C10"/>
    <w:pPr>
      <w:spacing w:before="0"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2">
    <w:name w:val="Medium Grid 12"/>
    <w:basedOn w:val="TableNormal"/>
    <w:next w:val="MediumGrid1"/>
    <w:uiPriority w:val="67"/>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MediumGrid1-Accent12">
    <w:name w:val="Medium Grid 1 - Accent 12"/>
    <w:basedOn w:val="TableNormal"/>
    <w:next w:val="MediumGrid1-Accent1"/>
    <w:uiPriority w:val="67"/>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MediumGrid1-Accent22">
    <w:name w:val="Medium Grid 1 - Accent 22"/>
    <w:basedOn w:val="TableNormal"/>
    <w:next w:val="MediumGrid1-Accent2"/>
    <w:uiPriority w:val="67"/>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MediumGrid1-Accent32">
    <w:name w:val="Medium Grid 1 - Accent 32"/>
    <w:basedOn w:val="TableNormal"/>
    <w:next w:val="MediumGrid1-Accent3"/>
    <w:uiPriority w:val="67"/>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MediumGrid1-Accent42">
    <w:name w:val="Medium Grid 1 - Accent 42"/>
    <w:basedOn w:val="TableNormal"/>
    <w:next w:val="MediumGrid1-Accent4"/>
    <w:uiPriority w:val="67"/>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MediumGrid1-Accent52">
    <w:name w:val="Medium Grid 1 - Accent 52"/>
    <w:basedOn w:val="TableNormal"/>
    <w:next w:val="MediumGrid1-Accent5"/>
    <w:uiPriority w:val="67"/>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MediumGrid1-Accent62">
    <w:name w:val="Medium Grid 1 - Accent 62"/>
    <w:basedOn w:val="TableNormal"/>
    <w:next w:val="MediumGrid1-Accent6"/>
    <w:uiPriority w:val="67"/>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MediumGrid22">
    <w:name w:val="Medium Grid 22"/>
    <w:basedOn w:val="TableNormal"/>
    <w:next w:val="MediumGrid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customStyle="1" w:styleId="MediumGrid2-Accent12">
    <w:name w:val="Medium Grid 2 - Accent 12"/>
    <w:basedOn w:val="TableNormal"/>
    <w:next w:val="MediumGrid2-Accent1"/>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customStyle="1" w:styleId="MediumGrid2-Accent22">
    <w:name w:val="Medium Grid 2 - Accent 22"/>
    <w:basedOn w:val="TableNormal"/>
    <w:next w:val="MediumGrid2-Accent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customStyle="1" w:styleId="MediumGrid2-Accent32">
    <w:name w:val="Medium Grid 2 - Accent 32"/>
    <w:basedOn w:val="TableNormal"/>
    <w:next w:val="MediumGrid2-Accent3"/>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customStyle="1" w:styleId="MediumGrid2-Accent42">
    <w:name w:val="Medium Grid 2 - Accent 42"/>
    <w:basedOn w:val="TableNormal"/>
    <w:next w:val="MediumGrid2-Accent4"/>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customStyle="1" w:styleId="MediumGrid2-Accent52">
    <w:name w:val="Medium Grid 2 - Accent 52"/>
    <w:basedOn w:val="TableNormal"/>
    <w:next w:val="MediumGrid2-Accent5"/>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customStyle="1" w:styleId="MediumGrid2-Accent62">
    <w:name w:val="Medium Grid 2 - Accent 62"/>
    <w:basedOn w:val="TableNormal"/>
    <w:next w:val="MediumGrid2-Accent6"/>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customStyle="1" w:styleId="MediumGrid32">
    <w:name w:val="Medium Grid 32"/>
    <w:basedOn w:val="TableNormal"/>
    <w:next w:val="MediumGrid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customStyle="1" w:styleId="MediumGrid3-Accent12">
    <w:name w:val="Medium Grid 3 - Accent 12"/>
    <w:basedOn w:val="TableNormal"/>
    <w:next w:val="MediumGrid3-Accent1"/>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customStyle="1" w:styleId="MediumGrid3-Accent22">
    <w:name w:val="Medium Grid 3 - Accent 22"/>
    <w:basedOn w:val="TableNormal"/>
    <w:next w:val="MediumGrid3-Accent2"/>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customStyle="1" w:styleId="MediumGrid3-Accent32">
    <w:name w:val="Medium Grid 3 - Accent 32"/>
    <w:basedOn w:val="TableNormal"/>
    <w:next w:val="MediumGrid3-Accent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customStyle="1" w:styleId="MediumGrid3-Accent42">
    <w:name w:val="Medium Grid 3 - Accent 42"/>
    <w:basedOn w:val="TableNormal"/>
    <w:next w:val="MediumGrid3-Accent4"/>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customStyle="1" w:styleId="MediumGrid3-Accent52">
    <w:name w:val="Medium Grid 3 - Accent 52"/>
    <w:basedOn w:val="TableNormal"/>
    <w:next w:val="MediumGrid3-Accent5"/>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customStyle="1" w:styleId="MediumGrid3-Accent62">
    <w:name w:val="Medium Grid 3 - Accent 62"/>
    <w:basedOn w:val="TableNormal"/>
    <w:next w:val="MediumGrid3-Accent6"/>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customStyle="1" w:styleId="MediumList12">
    <w:name w:val="Medium List 12"/>
    <w:basedOn w:val="TableNormal"/>
    <w:next w:val="MediumLis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customStyle="1" w:styleId="MediumList1-Accent12">
    <w:name w:val="Medium List 1 - Accent 12"/>
    <w:basedOn w:val="TableNormal"/>
    <w:next w:val="MediumList1-Accen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customStyle="1" w:styleId="MediumList1-Accent22">
    <w:name w:val="Medium List 1 - Accent 22"/>
    <w:basedOn w:val="TableNormal"/>
    <w:next w:val="MediumList1-Accent2"/>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customStyle="1" w:styleId="MediumList1-Accent32">
    <w:name w:val="Medium List 1 - Accent 32"/>
    <w:basedOn w:val="TableNormal"/>
    <w:next w:val="MediumList1-Accent3"/>
    <w:uiPriority w:val="65"/>
    <w:semiHidden/>
    <w:unhideWhenUsed/>
    <w:rsid w:val="00382C10"/>
    <w:pPr>
      <w:spacing w:before="0"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customStyle="1" w:styleId="MediumList1-Accent42">
    <w:name w:val="Medium List 1 - Accent 42"/>
    <w:basedOn w:val="TableNormal"/>
    <w:next w:val="MediumList1-Accent4"/>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customStyle="1" w:styleId="MediumList1-Accent52">
    <w:name w:val="Medium List 1 - Accent 52"/>
    <w:basedOn w:val="TableNormal"/>
    <w:next w:val="MediumList1-Accent5"/>
    <w:uiPriority w:val="65"/>
    <w:semiHidden/>
    <w:unhideWhenUsed/>
    <w:rsid w:val="00382C10"/>
    <w:pPr>
      <w:spacing w:before="0"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customStyle="1" w:styleId="MediumList1-Accent62">
    <w:name w:val="Medium List 1 - Accent 62"/>
    <w:basedOn w:val="TableNormal"/>
    <w:next w:val="MediumList1-Accent6"/>
    <w:uiPriority w:val="65"/>
    <w:semiHidden/>
    <w:unhideWhenUsed/>
    <w:rsid w:val="00382C10"/>
    <w:pPr>
      <w:spacing w:before="0"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customStyle="1" w:styleId="MediumList22">
    <w:name w:val="Medium List 22"/>
    <w:basedOn w:val="TableNormal"/>
    <w:next w:val="MediumLis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2">
    <w:name w:val="Medium Shading 2 - Accent 52"/>
    <w:basedOn w:val="TableNormal"/>
    <w:next w:val="MediumShading2-Accent5"/>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2">
    <w:name w:val="Medium Shading 2 - Accent 62"/>
    <w:basedOn w:val="TableNormal"/>
    <w:next w:val="MediumShading2-Accent6"/>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2">
    <w:name w:val="Plain Table 12"/>
    <w:basedOn w:val="TableNormal"/>
    <w:next w:val="PlainTable1"/>
    <w:uiPriority w:val="41"/>
    <w:rsid w:val="00382C10"/>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next w:val="PlainTable2"/>
    <w:uiPriority w:val="42"/>
    <w:rsid w:val="00382C10"/>
    <w:pPr>
      <w:spacing w:before="0"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2">
    <w:name w:val="Plain Table 32"/>
    <w:basedOn w:val="TableNormal"/>
    <w:next w:val="PlainTable3"/>
    <w:uiPriority w:val="43"/>
    <w:rsid w:val="00382C10"/>
    <w:pPr>
      <w:spacing w:before="0"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382C1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next w:val="PlainTable5"/>
    <w:uiPriority w:val="45"/>
    <w:rsid w:val="00382C10"/>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2">
    <w:name w:val="Table 3D effects 12"/>
    <w:basedOn w:val="TableNormal"/>
    <w:next w:val="Table3Deffects1"/>
    <w:uiPriority w:val="99"/>
    <w:semiHidden/>
    <w:unhideWhenUsed/>
    <w:rsid w:val="00382C1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382C1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382C1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382C1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382C1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382C1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382C1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382C1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382C1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382C1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382C1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382C1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382C1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382C1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382C1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382C1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382C1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382C1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382C1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382C1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382C10"/>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2">
    <w:name w:val="Table List 12"/>
    <w:basedOn w:val="TableNormal"/>
    <w:next w:val="TableList1"/>
    <w:uiPriority w:val="99"/>
    <w:semiHidden/>
    <w:unhideWhenUsed/>
    <w:rsid w:val="00382C1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382C1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382C1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382C1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382C1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382C1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382C1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382C1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382C1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382C1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382C1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382C1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7303">
      <w:bodyDiv w:val="1"/>
      <w:marLeft w:val="0"/>
      <w:marRight w:val="0"/>
      <w:marTop w:val="0"/>
      <w:marBottom w:val="0"/>
      <w:divBdr>
        <w:top w:val="none" w:sz="0" w:space="0" w:color="auto"/>
        <w:left w:val="none" w:sz="0" w:space="0" w:color="auto"/>
        <w:bottom w:val="none" w:sz="0" w:space="0" w:color="auto"/>
        <w:right w:val="none" w:sz="0" w:space="0" w:color="auto"/>
      </w:divBdr>
    </w:div>
    <w:div w:id="1678652237">
      <w:bodyDiv w:val="1"/>
      <w:marLeft w:val="0"/>
      <w:marRight w:val="0"/>
      <w:marTop w:val="0"/>
      <w:marBottom w:val="0"/>
      <w:divBdr>
        <w:top w:val="none" w:sz="0" w:space="0" w:color="auto"/>
        <w:left w:val="none" w:sz="0" w:space="0" w:color="auto"/>
        <w:bottom w:val="none" w:sz="0" w:space="0" w:color="auto"/>
        <w:right w:val="none" w:sz="0" w:space="0" w:color="auto"/>
      </w:divBdr>
    </w:div>
    <w:div w:id="19413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intosai.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theglobalfund.org/en/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heglobalfund.org/en/search/?q=Grant+portfolio"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theglobalfund.org/media/9376/core_annualauditsoffinancialstatements_guideline_fr.pdf?u=637217622770000000"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theglobalfund.org/media/7539/financial_financialriskmanagement_guidelines_fr.pdf?u=637166000350000000"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7539/financial_financialriskmanagement_guidelines_fr.pdf?u=637166000350000000" TargetMode="External"/><Relationship Id="rId1" Type="http://schemas.openxmlformats.org/officeDocument/2006/relationships/hyperlink" Target="https://www.theglobalfund.org/media/6139/core_pudr_guidelines_f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1405F9"/>
    <w:rsid w:val="00234B8B"/>
    <w:rsid w:val="00251F75"/>
    <w:rsid w:val="002F0B52"/>
    <w:rsid w:val="00304966"/>
    <w:rsid w:val="003C5A28"/>
    <w:rsid w:val="00404AF6"/>
    <w:rsid w:val="004721C8"/>
    <w:rsid w:val="0048798F"/>
    <w:rsid w:val="004A20E8"/>
    <w:rsid w:val="00521E92"/>
    <w:rsid w:val="00523F6C"/>
    <w:rsid w:val="00596A23"/>
    <w:rsid w:val="005E07A1"/>
    <w:rsid w:val="0064013D"/>
    <w:rsid w:val="006E506D"/>
    <w:rsid w:val="0071250F"/>
    <w:rsid w:val="0082456E"/>
    <w:rsid w:val="0083184D"/>
    <w:rsid w:val="0087058D"/>
    <w:rsid w:val="008A6F9F"/>
    <w:rsid w:val="009369C8"/>
    <w:rsid w:val="009D205A"/>
    <w:rsid w:val="009D65A2"/>
    <w:rsid w:val="00A33719"/>
    <w:rsid w:val="00A74E51"/>
    <w:rsid w:val="00A764B5"/>
    <w:rsid w:val="00AE43EB"/>
    <w:rsid w:val="00B24CA6"/>
    <w:rsid w:val="00E609A6"/>
    <w:rsid w:val="00E93BC3"/>
    <w:rsid w:val="00E95F64"/>
    <w:rsid w:val="00EB195C"/>
    <w:rsid w:val="00F02102"/>
    <w:rsid w:val="00F83435"/>
    <w:rsid w:val="00F83BEB"/>
    <w:rsid w:val="00FB4D9B"/>
    <w:rsid w:val="00FE4763"/>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19"/>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7663-6BFF-4309-8C4C-CD2866FC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16</Pages>
  <Words>6528</Words>
  <Characters>37211</Characters>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Links>
    <vt:vector size="246" baseType="variant">
      <vt:variant>
        <vt:i4>6684727</vt:i4>
      </vt:variant>
      <vt:variant>
        <vt:i4>219</vt:i4>
      </vt:variant>
      <vt:variant>
        <vt:i4>0</vt:i4>
      </vt:variant>
      <vt:variant>
        <vt:i4>5</vt:i4>
      </vt:variant>
      <vt:variant>
        <vt:lpwstr>https://www.theglobalfund.org/en/search/?q=Grant+portfolio</vt:lpwstr>
      </vt:variant>
      <vt:variant>
        <vt:lpwstr/>
      </vt:variant>
      <vt:variant>
        <vt:i4>4522037</vt:i4>
      </vt:variant>
      <vt:variant>
        <vt:i4>216</vt:i4>
      </vt:variant>
      <vt:variant>
        <vt:i4>0</vt:i4>
      </vt:variant>
      <vt:variant>
        <vt:i4>5</vt:i4>
      </vt:variant>
      <vt:variant>
        <vt:lpwstr>https://www.theglobalfund.org/media/3261/core_budgetinginglobalfundgrants_guideline_en.pdf</vt:lpwstr>
      </vt:variant>
      <vt:variant>
        <vt:lpwstr/>
      </vt:variant>
      <vt:variant>
        <vt:i4>6291535</vt:i4>
      </vt:variant>
      <vt:variant>
        <vt:i4>213</vt:i4>
      </vt:variant>
      <vt:variant>
        <vt:i4>0</vt:i4>
      </vt:variant>
      <vt:variant>
        <vt:i4>5</vt:i4>
      </vt:variant>
      <vt:variant>
        <vt:lpwstr>https://www.theglobalfund.org/media/6041/core_annualauditsoffinancialstatements_guideline_en.pdf?u=637217622760000000</vt:lpwstr>
      </vt:variant>
      <vt:variant>
        <vt:lpwstr/>
      </vt:variant>
      <vt:variant>
        <vt:i4>6946895</vt:i4>
      </vt:variant>
      <vt:variant>
        <vt:i4>207</vt:i4>
      </vt:variant>
      <vt:variant>
        <vt:i4>0</vt:i4>
      </vt:variant>
      <vt:variant>
        <vt:i4>5</vt:i4>
      </vt:variant>
      <vt:variant>
        <vt:lpwstr>https://www.theglobalfund.org/media/7540/financial_financialriskmanagement_guidelines_en.pdf?u=636784020850000000</vt:lpwstr>
      </vt:variant>
      <vt:variant>
        <vt:lpwstr/>
      </vt:variant>
      <vt:variant>
        <vt:i4>5963855</vt:i4>
      </vt:variant>
      <vt:variant>
        <vt:i4>204</vt:i4>
      </vt:variant>
      <vt:variant>
        <vt:i4>0</vt:i4>
      </vt:variant>
      <vt:variant>
        <vt:i4>5</vt:i4>
      </vt:variant>
      <vt:variant>
        <vt:lpwstr>https://www.intosai.org/</vt:lpwstr>
      </vt:variant>
      <vt:variant>
        <vt:lpwstr/>
      </vt:variant>
      <vt:variant>
        <vt:i4>7012387</vt:i4>
      </vt:variant>
      <vt:variant>
        <vt:i4>201</vt:i4>
      </vt:variant>
      <vt:variant>
        <vt:i4>0</vt:i4>
      </vt:variant>
      <vt:variant>
        <vt:i4>5</vt:i4>
      </vt:variant>
      <vt:variant>
        <vt:lpwstr>http://www.theglobalfund.org/en/guidelines/</vt:lpwstr>
      </vt:variant>
      <vt:variant>
        <vt:lpwstr/>
      </vt:variant>
      <vt:variant>
        <vt:i4>1179698</vt:i4>
      </vt:variant>
      <vt:variant>
        <vt:i4>194</vt:i4>
      </vt:variant>
      <vt:variant>
        <vt:i4>0</vt:i4>
      </vt:variant>
      <vt:variant>
        <vt:i4>5</vt:i4>
      </vt:variant>
      <vt:variant>
        <vt:lpwstr/>
      </vt:variant>
      <vt:variant>
        <vt:lpwstr>_Toc101540608</vt:lpwstr>
      </vt:variant>
      <vt:variant>
        <vt:i4>1179698</vt:i4>
      </vt:variant>
      <vt:variant>
        <vt:i4>188</vt:i4>
      </vt:variant>
      <vt:variant>
        <vt:i4>0</vt:i4>
      </vt:variant>
      <vt:variant>
        <vt:i4>5</vt:i4>
      </vt:variant>
      <vt:variant>
        <vt:lpwstr/>
      </vt:variant>
      <vt:variant>
        <vt:lpwstr>_Toc101540606</vt:lpwstr>
      </vt:variant>
      <vt:variant>
        <vt:i4>1179698</vt:i4>
      </vt:variant>
      <vt:variant>
        <vt:i4>182</vt:i4>
      </vt:variant>
      <vt:variant>
        <vt:i4>0</vt:i4>
      </vt:variant>
      <vt:variant>
        <vt:i4>5</vt:i4>
      </vt:variant>
      <vt:variant>
        <vt:lpwstr/>
      </vt:variant>
      <vt:variant>
        <vt:lpwstr>_Toc101540605</vt:lpwstr>
      </vt:variant>
      <vt:variant>
        <vt:i4>1179698</vt:i4>
      </vt:variant>
      <vt:variant>
        <vt:i4>176</vt:i4>
      </vt:variant>
      <vt:variant>
        <vt:i4>0</vt:i4>
      </vt:variant>
      <vt:variant>
        <vt:i4>5</vt:i4>
      </vt:variant>
      <vt:variant>
        <vt:lpwstr/>
      </vt:variant>
      <vt:variant>
        <vt:lpwstr>_Toc101540604</vt:lpwstr>
      </vt:variant>
      <vt:variant>
        <vt:i4>1179698</vt:i4>
      </vt:variant>
      <vt:variant>
        <vt:i4>170</vt:i4>
      </vt:variant>
      <vt:variant>
        <vt:i4>0</vt:i4>
      </vt:variant>
      <vt:variant>
        <vt:i4>5</vt:i4>
      </vt:variant>
      <vt:variant>
        <vt:lpwstr/>
      </vt:variant>
      <vt:variant>
        <vt:lpwstr>_Toc101540602</vt:lpwstr>
      </vt:variant>
      <vt:variant>
        <vt:i4>1179698</vt:i4>
      </vt:variant>
      <vt:variant>
        <vt:i4>164</vt:i4>
      </vt:variant>
      <vt:variant>
        <vt:i4>0</vt:i4>
      </vt:variant>
      <vt:variant>
        <vt:i4>5</vt:i4>
      </vt:variant>
      <vt:variant>
        <vt:lpwstr/>
      </vt:variant>
      <vt:variant>
        <vt:lpwstr>_Toc101540600</vt:lpwstr>
      </vt:variant>
      <vt:variant>
        <vt:i4>1769521</vt:i4>
      </vt:variant>
      <vt:variant>
        <vt:i4>158</vt:i4>
      </vt:variant>
      <vt:variant>
        <vt:i4>0</vt:i4>
      </vt:variant>
      <vt:variant>
        <vt:i4>5</vt:i4>
      </vt:variant>
      <vt:variant>
        <vt:lpwstr/>
      </vt:variant>
      <vt:variant>
        <vt:lpwstr>_Toc101540598</vt:lpwstr>
      </vt:variant>
      <vt:variant>
        <vt:i4>1769521</vt:i4>
      </vt:variant>
      <vt:variant>
        <vt:i4>152</vt:i4>
      </vt:variant>
      <vt:variant>
        <vt:i4>0</vt:i4>
      </vt:variant>
      <vt:variant>
        <vt:i4>5</vt:i4>
      </vt:variant>
      <vt:variant>
        <vt:lpwstr/>
      </vt:variant>
      <vt:variant>
        <vt:lpwstr>_Toc101540595</vt:lpwstr>
      </vt:variant>
      <vt:variant>
        <vt:i4>1769521</vt:i4>
      </vt:variant>
      <vt:variant>
        <vt:i4>146</vt:i4>
      </vt:variant>
      <vt:variant>
        <vt:i4>0</vt:i4>
      </vt:variant>
      <vt:variant>
        <vt:i4>5</vt:i4>
      </vt:variant>
      <vt:variant>
        <vt:lpwstr/>
      </vt:variant>
      <vt:variant>
        <vt:lpwstr>_Toc101540594</vt:lpwstr>
      </vt:variant>
      <vt:variant>
        <vt:i4>1769521</vt:i4>
      </vt:variant>
      <vt:variant>
        <vt:i4>140</vt:i4>
      </vt:variant>
      <vt:variant>
        <vt:i4>0</vt:i4>
      </vt:variant>
      <vt:variant>
        <vt:i4>5</vt:i4>
      </vt:variant>
      <vt:variant>
        <vt:lpwstr/>
      </vt:variant>
      <vt:variant>
        <vt:lpwstr>_Toc101540593</vt:lpwstr>
      </vt:variant>
      <vt:variant>
        <vt:i4>1769521</vt:i4>
      </vt:variant>
      <vt:variant>
        <vt:i4>134</vt:i4>
      </vt:variant>
      <vt:variant>
        <vt:i4>0</vt:i4>
      </vt:variant>
      <vt:variant>
        <vt:i4>5</vt:i4>
      </vt:variant>
      <vt:variant>
        <vt:lpwstr/>
      </vt:variant>
      <vt:variant>
        <vt:lpwstr>_Toc101540592</vt:lpwstr>
      </vt:variant>
      <vt:variant>
        <vt:i4>1769521</vt:i4>
      </vt:variant>
      <vt:variant>
        <vt:i4>128</vt:i4>
      </vt:variant>
      <vt:variant>
        <vt:i4>0</vt:i4>
      </vt:variant>
      <vt:variant>
        <vt:i4>5</vt:i4>
      </vt:variant>
      <vt:variant>
        <vt:lpwstr/>
      </vt:variant>
      <vt:variant>
        <vt:lpwstr>_Toc101540591</vt:lpwstr>
      </vt:variant>
      <vt:variant>
        <vt:i4>1769521</vt:i4>
      </vt:variant>
      <vt:variant>
        <vt:i4>122</vt:i4>
      </vt:variant>
      <vt:variant>
        <vt:i4>0</vt:i4>
      </vt:variant>
      <vt:variant>
        <vt:i4>5</vt:i4>
      </vt:variant>
      <vt:variant>
        <vt:lpwstr/>
      </vt:variant>
      <vt:variant>
        <vt:lpwstr>_Toc101540590</vt:lpwstr>
      </vt:variant>
      <vt:variant>
        <vt:i4>1703985</vt:i4>
      </vt:variant>
      <vt:variant>
        <vt:i4>116</vt:i4>
      </vt:variant>
      <vt:variant>
        <vt:i4>0</vt:i4>
      </vt:variant>
      <vt:variant>
        <vt:i4>5</vt:i4>
      </vt:variant>
      <vt:variant>
        <vt:lpwstr/>
      </vt:variant>
      <vt:variant>
        <vt:lpwstr>_Toc101540589</vt:lpwstr>
      </vt:variant>
      <vt:variant>
        <vt:i4>1703985</vt:i4>
      </vt:variant>
      <vt:variant>
        <vt:i4>110</vt:i4>
      </vt:variant>
      <vt:variant>
        <vt:i4>0</vt:i4>
      </vt:variant>
      <vt:variant>
        <vt:i4>5</vt:i4>
      </vt:variant>
      <vt:variant>
        <vt:lpwstr/>
      </vt:variant>
      <vt:variant>
        <vt:lpwstr>_Toc101540588</vt:lpwstr>
      </vt:variant>
      <vt:variant>
        <vt:i4>1703985</vt:i4>
      </vt:variant>
      <vt:variant>
        <vt:i4>104</vt:i4>
      </vt:variant>
      <vt:variant>
        <vt:i4>0</vt:i4>
      </vt:variant>
      <vt:variant>
        <vt:i4>5</vt:i4>
      </vt:variant>
      <vt:variant>
        <vt:lpwstr/>
      </vt:variant>
      <vt:variant>
        <vt:lpwstr>_Toc101540587</vt:lpwstr>
      </vt:variant>
      <vt:variant>
        <vt:i4>1703985</vt:i4>
      </vt:variant>
      <vt:variant>
        <vt:i4>98</vt:i4>
      </vt:variant>
      <vt:variant>
        <vt:i4>0</vt:i4>
      </vt:variant>
      <vt:variant>
        <vt:i4>5</vt:i4>
      </vt:variant>
      <vt:variant>
        <vt:lpwstr/>
      </vt:variant>
      <vt:variant>
        <vt:lpwstr>_Toc101540586</vt:lpwstr>
      </vt:variant>
      <vt:variant>
        <vt:i4>1703985</vt:i4>
      </vt:variant>
      <vt:variant>
        <vt:i4>92</vt:i4>
      </vt:variant>
      <vt:variant>
        <vt:i4>0</vt:i4>
      </vt:variant>
      <vt:variant>
        <vt:i4>5</vt:i4>
      </vt:variant>
      <vt:variant>
        <vt:lpwstr/>
      </vt:variant>
      <vt:variant>
        <vt:lpwstr>_Toc101540584</vt:lpwstr>
      </vt:variant>
      <vt:variant>
        <vt:i4>1703985</vt:i4>
      </vt:variant>
      <vt:variant>
        <vt:i4>86</vt:i4>
      </vt:variant>
      <vt:variant>
        <vt:i4>0</vt:i4>
      </vt:variant>
      <vt:variant>
        <vt:i4>5</vt:i4>
      </vt:variant>
      <vt:variant>
        <vt:lpwstr/>
      </vt:variant>
      <vt:variant>
        <vt:lpwstr>_Toc101540583</vt:lpwstr>
      </vt:variant>
      <vt:variant>
        <vt:i4>1703985</vt:i4>
      </vt:variant>
      <vt:variant>
        <vt:i4>80</vt:i4>
      </vt:variant>
      <vt:variant>
        <vt:i4>0</vt:i4>
      </vt:variant>
      <vt:variant>
        <vt:i4>5</vt:i4>
      </vt:variant>
      <vt:variant>
        <vt:lpwstr/>
      </vt:variant>
      <vt:variant>
        <vt:lpwstr>_Toc101540582</vt:lpwstr>
      </vt:variant>
      <vt:variant>
        <vt:i4>1703985</vt:i4>
      </vt:variant>
      <vt:variant>
        <vt:i4>74</vt:i4>
      </vt:variant>
      <vt:variant>
        <vt:i4>0</vt:i4>
      </vt:variant>
      <vt:variant>
        <vt:i4>5</vt:i4>
      </vt:variant>
      <vt:variant>
        <vt:lpwstr/>
      </vt:variant>
      <vt:variant>
        <vt:lpwstr>_Toc101540581</vt:lpwstr>
      </vt:variant>
      <vt:variant>
        <vt:i4>1703985</vt:i4>
      </vt:variant>
      <vt:variant>
        <vt:i4>68</vt:i4>
      </vt:variant>
      <vt:variant>
        <vt:i4>0</vt:i4>
      </vt:variant>
      <vt:variant>
        <vt:i4>5</vt:i4>
      </vt:variant>
      <vt:variant>
        <vt:lpwstr/>
      </vt:variant>
      <vt:variant>
        <vt:lpwstr>_Toc101540580</vt:lpwstr>
      </vt:variant>
      <vt:variant>
        <vt:i4>1376305</vt:i4>
      </vt:variant>
      <vt:variant>
        <vt:i4>62</vt:i4>
      </vt:variant>
      <vt:variant>
        <vt:i4>0</vt:i4>
      </vt:variant>
      <vt:variant>
        <vt:i4>5</vt:i4>
      </vt:variant>
      <vt:variant>
        <vt:lpwstr/>
      </vt:variant>
      <vt:variant>
        <vt:lpwstr>_Toc101540579</vt:lpwstr>
      </vt:variant>
      <vt:variant>
        <vt:i4>1376305</vt:i4>
      </vt:variant>
      <vt:variant>
        <vt:i4>56</vt:i4>
      </vt:variant>
      <vt:variant>
        <vt:i4>0</vt:i4>
      </vt:variant>
      <vt:variant>
        <vt:i4>5</vt:i4>
      </vt:variant>
      <vt:variant>
        <vt:lpwstr/>
      </vt:variant>
      <vt:variant>
        <vt:lpwstr>_Toc101540578</vt:lpwstr>
      </vt:variant>
      <vt:variant>
        <vt:i4>1376305</vt:i4>
      </vt:variant>
      <vt:variant>
        <vt:i4>50</vt:i4>
      </vt:variant>
      <vt:variant>
        <vt:i4>0</vt:i4>
      </vt:variant>
      <vt:variant>
        <vt:i4>5</vt:i4>
      </vt:variant>
      <vt:variant>
        <vt:lpwstr/>
      </vt:variant>
      <vt:variant>
        <vt:lpwstr>_Toc101540575</vt:lpwstr>
      </vt:variant>
      <vt:variant>
        <vt:i4>1376305</vt:i4>
      </vt:variant>
      <vt:variant>
        <vt:i4>44</vt:i4>
      </vt:variant>
      <vt:variant>
        <vt:i4>0</vt:i4>
      </vt:variant>
      <vt:variant>
        <vt:i4>5</vt:i4>
      </vt:variant>
      <vt:variant>
        <vt:lpwstr/>
      </vt:variant>
      <vt:variant>
        <vt:lpwstr>_Toc101540574</vt:lpwstr>
      </vt:variant>
      <vt:variant>
        <vt:i4>1376305</vt:i4>
      </vt:variant>
      <vt:variant>
        <vt:i4>38</vt:i4>
      </vt:variant>
      <vt:variant>
        <vt:i4>0</vt:i4>
      </vt:variant>
      <vt:variant>
        <vt:i4>5</vt:i4>
      </vt:variant>
      <vt:variant>
        <vt:lpwstr/>
      </vt:variant>
      <vt:variant>
        <vt:lpwstr>_Toc101540573</vt:lpwstr>
      </vt:variant>
      <vt:variant>
        <vt:i4>1376305</vt:i4>
      </vt:variant>
      <vt:variant>
        <vt:i4>32</vt:i4>
      </vt:variant>
      <vt:variant>
        <vt:i4>0</vt:i4>
      </vt:variant>
      <vt:variant>
        <vt:i4>5</vt:i4>
      </vt:variant>
      <vt:variant>
        <vt:lpwstr/>
      </vt:variant>
      <vt:variant>
        <vt:lpwstr>_Toc101540572</vt:lpwstr>
      </vt:variant>
      <vt:variant>
        <vt:i4>1376305</vt:i4>
      </vt:variant>
      <vt:variant>
        <vt:i4>26</vt:i4>
      </vt:variant>
      <vt:variant>
        <vt:i4>0</vt:i4>
      </vt:variant>
      <vt:variant>
        <vt:i4>5</vt:i4>
      </vt:variant>
      <vt:variant>
        <vt:lpwstr/>
      </vt:variant>
      <vt:variant>
        <vt:lpwstr>_Toc101540571</vt:lpwstr>
      </vt:variant>
      <vt:variant>
        <vt:i4>1376305</vt:i4>
      </vt:variant>
      <vt:variant>
        <vt:i4>20</vt:i4>
      </vt:variant>
      <vt:variant>
        <vt:i4>0</vt:i4>
      </vt:variant>
      <vt:variant>
        <vt:i4>5</vt:i4>
      </vt:variant>
      <vt:variant>
        <vt:lpwstr/>
      </vt:variant>
      <vt:variant>
        <vt:lpwstr>_Toc101540570</vt:lpwstr>
      </vt:variant>
      <vt:variant>
        <vt:i4>1310769</vt:i4>
      </vt:variant>
      <vt:variant>
        <vt:i4>14</vt:i4>
      </vt:variant>
      <vt:variant>
        <vt:i4>0</vt:i4>
      </vt:variant>
      <vt:variant>
        <vt:i4>5</vt:i4>
      </vt:variant>
      <vt:variant>
        <vt:lpwstr/>
      </vt:variant>
      <vt:variant>
        <vt:lpwstr>_Toc101540569</vt:lpwstr>
      </vt:variant>
      <vt:variant>
        <vt:i4>1310769</vt:i4>
      </vt:variant>
      <vt:variant>
        <vt:i4>8</vt:i4>
      </vt:variant>
      <vt:variant>
        <vt:i4>0</vt:i4>
      </vt:variant>
      <vt:variant>
        <vt:i4>5</vt:i4>
      </vt:variant>
      <vt:variant>
        <vt:lpwstr/>
      </vt:variant>
      <vt:variant>
        <vt:lpwstr>_Toc101540568</vt:lpwstr>
      </vt:variant>
      <vt:variant>
        <vt:i4>1310769</vt:i4>
      </vt:variant>
      <vt:variant>
        <vt:i4>2</vt:i4>
      </vt:variant>
      <vt:variant>
        <vt:i4>0</vt:i4>
      </vt:variant>
      <vt:variant>
        <vt:i4>5</vt:i4>
      </vt:variant>
      <vt:variant>
        <vt:lpwstr/>
      </vt:variant>
      <vt:variant>
        <vt:lpwstr>_Toc101540567</vt:lpwstr>
      </vt:variant>
      <vt:variant>
        <vt:i4>6946895</vt:i4>
      </vt:variant>
      <vt:variant>
        <vt:i4>3</vt:i4>
      </vt:variant>
      <vt:variant>
        <vt:i4>0</vt:i4>
      </vt:variant>
      <vt:variant>
        <vt:i4>5</vt:i4>
      </vt:variant>
      <vt:variant>
        <vt:lpwstr>https://www.theglobalfund.org/media/7540/financial_financialriskmanagement_guidelines_en.pdf?u=636784020850000000</vt:lpwstr>
      </vt:variant>
      <vt:variant>
        <vt:lpwstr/>
      </vt:variant>
      <vt:variant>
        <vt:i4>2031712</vt:i4>
      </vt:variant>
      <vt:variant>
        <vt:i4>0</vt:i4>
      </vt:variant>
      <vt:variant>
        <vt:i4>0</vt:i4>
      </vt:variant>
      <vt:variant>
        <vt:i4>5</vt:i4>
      </vt:variant>
      <vt:variant>
        <vt:lpwstr>https://www.theglobalfund.org/media/6156/core_pudr_guidelines_en.pdf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2022-05-19T14:16:00Z</dcterms:created>
  <dcterms:modified xsi:type="dcterms:W3CDTF">2022-05-20T10:09:00Z</dcterms:modified>
</cp:coreProperties>
</file>